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50" w:type="dxa"/>
        <w:jc w:val="center"/>
        <w:tblCellSpacing w:w="0" w:type="dxa"/>
        <w:tblCellMar>
          <w:left w:w="0" w:type="dxa"/>
          <w:right w:w="0" w:type="dxa"/>
        </w:tblCellMar>
        <w:tblLook w:val="04A0"/>
      </w:tblPr>
      <w:tblGrid>
        <w:gridCol w:w="10950"/>
      </w:tblGrid>
      <w:tr w:rsidR="00A25A86" w:rsidRPr="00A25A86">
        <w:trPr>
          <w:trHeight w:val="975"/>
          <w:tblCellSpacing w:w="0" w:type="dxa"/>
          <w:jc w:val="center"/>
        </w:trPr>
        <w:tc>
          <w:tcPr>
            <w:tcW w:w="0" w:type="auto"/>
            <w:vAlign w:val="center"/>
            <w:hideMark/>
          </w:tcPr>
          <w:p w:rsidR="00A25A86" w:rsidRPr="00A25A86" w:rsidRDefault="00A25A86" w:rsidP="00A25A86">
            <w:pPr>
              <w:widowControl/>
              <w:spacing w:before="100" w:beforeAutospacing="1" w:after="100" w:afterAutospacing="1"/>
              <w:jc w:val="center"/>
              <w:outlineLvl w:val="1"/>
              <w:rPr>
                <w:rFonts w:asciiTheme="minorEastAsia" w:hAnsiTheme="minorEastAsia" w:cs="宋体"/>
                <w:b/>
                <w:bCs/>
                <w:color w:val="336BD1"/>
                <w:kern w:val="0"/>
                <w:sz w:val="24"/>
                <w:szCs w:val="24"/>
              </w:rPr>
            </w:pPr>
            <w:r w:rsidRPr="00A25A86">
              <w:rPr>
                <w:rFonts w:asciiTheme="minorEastAsia" w:hAnsiTheme="minorEastAsia" w:cs="宋体"/>
                <w:b/>
                <w:bCs/>
                <w:color w:val="336BD1"/>
                <w:kern w:val="0"/>
                <w:sz w:val="24"/>
                <w:szCs w:val="24"/>
              </w:rPr>
              <w:t>国家重点新产品计划管理办法</w:t>
            </w:r>
          </w:p>
          <w:p w:rsidR="00A25A86" w:rsidRPr="00A25A86" w:rsidRDefault="00A25A86" w:rsidP="00A25A86">
            <w:pPr>
              <w:widowControl/>
              <w:spacing w:before="100" w:beforeAutospacing="1" w:after="100" w:afterAutospacing="1"/>
              <w:jc w:val="center"/>
              <w:rPr>
                <w:rFonts w:asciiTheme="minorEastAsia" w:hAnsiTheme="minorEastAsia" w:cs="宋体"/>
                <w:color w:val="CCCCCC"/>
                <w:kern w:val="0"/>
                <w:sz w:val="24"/>
                <w:szCs w:val="24"/>
              </w:rPr>
            </w:pPr>
          </w:p>
        </w:tc>
      </w:tr>
      <w:tr w:rsidR="00A25A86" w:rsidRPr="00A25A86">
        <w:trPr>
          <w:trHeight w:val="300"/>
          <w:tblCellSpacing w:w="0" w:type="dxa"/>
          <w:jc w:val="center"/>
        </w:trPr>
        <w:tc>
          <w:tcPr>
            <w:tcW w:w="0" w:type="auto"/>
            <w:vAlign w:val="center"/>
            <w:hideMark/>
          </w:tcPr>
          <w:p w:rsidR="00A25A86" w:rsidRPr="00A25A86" w:rsidRDefault="00A25A86" w:rsidP="00A25A86">
            <w:pPr>
              <w:widowControl/>
              <w:jc w:val="center"/>
              <w:rPr>
                <w:rFonts w:asciiTheme="minorEastAsia" w:hAnsiTheme="minorEastAsia" w:cs="宋体"/>
                <w:kern w:val="0"/>
                <w:sz w:val="24"/>
                <w:szCs w:val="24"/>
              </w:rPr>
            </w:pPr>
          </w:p>
        </w:tc>
      </w:tr>
    </w:tbl>
    <w:p w:rsidR="00A25A86" w:rsidRPr="00A25A86" w:rsidRDefault="00A25A86" w:rsidP="00A25A86">
      <w:pPr>
        <w:widowControl/>
        <w:jc w:val="left"/>
        <w:rPr>
          <w:rFonts w:asciiTheme="minorEastAsia" w:hAnsiTheme="minorEastAsia" w:cs="宋体"/>
          <w:vanish/>
          <w:kern w:val="0"/>
          <w:sz w:val="24"/>
          <w:szCs w:val="24"/>
        </w:rPr>
      </w:pPr>
    </w:p>
    <w:tbl>
      <w:tblPr>
        <w:tblW w:w="4750" w:type="pct"/>
        <w:jc w:val="center"/>
        <w:tblCellSpacing w:w="0" w:type="dxa"/>
        <w:tblCellMar>
          <w:left w:w="0" w:type="dxa"/>
          <w:right w:w="0" w:type="dxa"/>
        </w:tblCellMar>
        <w:tblLook w:val="04A0"/>
      </w:tblPr>
      <w:tblGrid>
        <w:gridCol w:w="7891"/>
      </w:tblGrid>
      <w:tr w:rsidR="00A25A86" w:rsidRPr="00A25A86">
        <w:trPr>
          <w:tblCellSpacing w:w="0" w:type="dxa"/>
          <w:jc w:val="center"/>
        </w:trPr>
        <w:tc>
          <w:tcPr>
            <w:tcW w:w="0" w:type="auto"/>
            <w:hideMark/>
          </w:tcPr>
          <w:p w:rsidR="00A25A86" w:rsidRPr="00A25A86" w:rsidRDefault="00A25A86" w:rsidP="00A25A86">
            <w:pPr>
              <w:widowControl/>
              <w:spacing w:line="270" w:lineRule="atLeast"/>
              <w:jc w:val="left"/>
              <w:rPr>
                <w:rFonts w:asciiTheme="minorEastAsia" w:hAnsiTheme="minorEastAsia" w:cs="宋体"/>
                <w:color w:val="666666"/>
                <w:kern w:val="0"/>
                <w:sz w:val="24"/>
                <w:szCs w:val="24"/>
              </w:rPr>
            </w:pPr>
          </w:p>
        </w:tc>
      </w:tr>
      <w:tr w:rsidR="00A25A86" w:rsidRPr="00A25A86">
        <w:trPr>
          <w:trHeight w:val="270"/>
          <w:tblCellSpacing w:w="0" w:type="dxa"/>
          <w:jc w:val="center"/>
        </w:trPr>
        <w:tc>
          <w:tcPr>
            <w:tcW w:w="0" w:type="auto"/>
            <w:tcMar>
              <w:top w:w="0" w:type="dxa"/>
              <w:left w:w="0" w:type="dxa"/>
              <w:bottom w:w="150" w:type="dxa"/>
              <w:right w:w="0" w:type="dxa"/>
            </w:tcMar>
            <w:vAlign w:val="center"/>
            <w:hideMark/>
          </w:tcPr>
          <w:p w:rsidR="00A25A86" w:rsidRPr="00A25A86" w:rsidRDefault="00A25A86" w:rsidP="00A25A86">
            <w:pPr>
              <w:widowControl/>
              <w:spacing w:line="270" w:lineRule="atLeast"/>
              <w:jc w:val="center"/>
              <w:rPr>
                <w:rFonts w:asciiTheme="minorEastAsia" w:hAnsiTheme="minorEastAsia" w:cs="宋体"/>
                <w:kern w:val="0"/>
                <w:sz w:val="24"/>
                <w:szCs w:val="24"/>
              </w:rPr>
            </w:pPr>
            <w:r w:rsidRPr="00A25A86">
              <w:rPr>
                <w:rFonts w:asciiTheme="minorEastAsia" w:hAnsiTheme="minorEastAsia" w:cs="宋体"/>
                <w:b/>
                <w:bCs/>
                <w:kern w:val="0"/>
                <w:sz w:val="24"/>
                <w:szCs w:val="24"/>
              </w:rPr>
              <w:t>第一章 总 则</w:t>
            </w:r>
            <w:r w:rsidRPr="00A25A86">
              <w:rPr>
                <w:rFonts w:asciiTheme="minorEastAsia" w:hAnsiTheme="minorEastAsia" w:cs="宋体"/>
                <w:kern w:val="0"/>
                <w:sz w:val="24"/>
                <w:szCs w:val="24"/>
              </w:rPr>
              <w:t xml:space="preserve">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第一条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为发挥国家科技计划在社会主义市场经济条件下的宏观调控指导作用，加快科技成果转化和技术创新，促进经济增长方式的转变和培育新的经济增长点，国家科委联合有关部门组织实施《国家重点新产品计划》(以下称新产品计划)，并制定本办法。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第二条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新产品计划是一项政策性扶持计划，旨在引导、推动企业和科研机构的科技进步和提高技术创新能力，实现产业结构的优化和产品结构的调整，通过国内自主开发与引进国外先进技术的消化吸收等方式，加速经济竞争力强、市场份额大的高新技术产品的开发和产业化。</w:t>
            </w:r>
          </w:p>
          <w:p w:rsidR="00A25A86" w:rsidRPr="00A25A86" w:rsidRDefault="00A25A86" w:rsidP="00A25A86">
            <w:pPr>
              <w:widowControl/>
              <w:spacing w:before="100" w:beforeAutospacing="1" w:after="100" w:afterAutospacing="1" w:line="270" w:lineRule="atLeast"/>
              <w:jc w:val="center"/>
              <w:rPr>
                <w:rFonts w:asciiTheme="minorEastAsia" w:hAnsiTheme="minorEastAsia" w:cs="宋体"/>
                <w:kern w:val="0"/>
                <w:sz w:val="24"/>
                <w:szCs w:val="24"/>
              </w:rPr>
            </w:pPr>
            <w:r w:rsidRPr="00A25A86">
              <w:rPr>
                <w:rFonts w:asciiTheme="minorEastAsia" w:hAnsiTheme="minorEastAsia" w:cs="宋体"/>
                <w:kern w:val="0"/>
                <w:sz w:val="24"/>
                <w:szCs w:val="24"/>
              </w:rPr>
              <w:t xml:space="preserve">　　</w:t>
            </w:r>
            <w:r w:rsidRPr="00A25A86">
              <w:rPr>
                <w:rFonts w:asciiTheme="minorEastAsia" w:hAnsiTheme="minorEastAsia" w:cs="宋体"/>
                <w:b/>
                <w:bCs/>
                <w:kern w:val="0"/>
                <w:sz w:val="24"/>
                <w:szCs w:val="24"/>
              </w:rPr>
              <w:t xml:space="preserve">第二章 </w:t>
            </w:r>
            <w:proofErr w:type="gramStart"/>
            <w:r w:rsidRPr="00A25A86">
              <w:rPr>
                <w:rFonts w:asciiTheme="minorEastAsia" w:hAnsiTheme="minorEastAsia" w:cs="宋体"/>
                <w:b/>
                <w:bCs/>
                <w:kern w:val="0"/>
                <w:sz w:val="24"/>
                <w:szCs w:val="24"/>
              </w:rPr>
              <w:t>范</w:t>
            </w:r>
            <w:proofErr w:type="gramEnd"/>
            <w:r w:rsidRPr="00A25A86">
              <w:rPr>
                <w:rFonts w:asciiTheme="minorEastAsia" w:hAnsiTheme="minorEastAsia" w:cs="宋体"/>
                <w:b/>
                <w:bCs/>
                <w:kern w:val="0"/>
                <w:sz w:val="24"/>
                <w:szCs w:val="24"/>
              </w:rPr>
              <w:t xml:space="preserve"> 围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第三条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本办法所称的新产品是指采用新技术原理、新设计构思，研制生产的全新型产品或应用新技术原理、新设计构思，在结构、材质、工艺等任一方面比老产品有重大改进、显著提高了产品性能或扩大了使用功能的改进型产品；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第四条 新产品计划优先支持下列范围的新产品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w:t>
            </w:r>
            <w:proofErr w:type="gramStart"/>
            <w:r w:rsidRPr="00A25A86">
              <w:rPr>
                <w:rFonts w:asciiTheme="minorEastAsia" w:hAnsiTheme="minorEastAsia" w:cs="宋体"/>
                <w:kern w:val="0"/>
                <w:sz w:val="24"/>
                <w:szCs w:val="24"/>
              </w:rPr>
              <w:t>一</w:t>
            </w:r>
            <w:proofErr w:type="gramEnd"/>
            <w:r w:rsidRPr="00A25A86">
              <w:rPr>
                <w:rFonts w:asciiTheme="minorEastAsia" w:hAnsiTheme="minorEastAsia" w:cs="宋体"/>
                <w:kern w:val="0"/>
                <w:sz w:val="24"/>
                <w:szCs w:val="24"/>
              </w:rPr>
              <w:t xml:space="preserve">)高新技术产品，包括：微电子科学和电子信息技术；空间科学和航空航天技术；光电科学和光机电一体化技术；生命科学和生物工程技术；材料科学和新材料技术；能源科学和新能源、高效节能技术；生态科学和环境保护技术；地球科学和海洋工程技术；基本物质科学和辐射技术；医药科学和生物医学工程技术；其他高新技术产品；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(二)利用国家及省部级科技计划成果转化的新产品，特别是对国民经济基础产业、支柱产业能起重大促进作用的新产品；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(三)具有自主知识产权的新产品；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(四)外贸出口创汇新产品，替代进口及引进技术消化吸收并实现国产化率在80％以上的新产品；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lastRenderedPageBreak/>
              <w:t xml:space="preserve">　　(五)采用国际标准或国外先进标准的新产品。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第五条 下列产品原则上不在新产品计划中列项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w:t>
            </w:r>
            <w:proofErr w:type="gramStart"/>
            <w:r w:rsidRPr="00A25A86">
              <w:rPr>
                <w:rFonts w:asciiTheme="minorEastAsia" w:hAnsiTheme="minorEastAsia" w:cs="宋体"/>
                <w:kern w:val="0"/>
                <w:sz w:val="24"/>
                <w:szCs w:val="24"/>
              </w:rPr>
              <w:t>一</w:t>
            </w:r>
            <w:proofErr w:type="gramEnd"/>
            <w:r w:rsidRPr="00A25A86">
              <w:rPr>
                <w:rFonts w:asciiTheme="minorEastAsia" w:hAnsiTheme="minorEastAsia" w:cs="宋体"/>
                <w:kern w:val="0"/>
                <w:sz w:val="24"/>
                <w:szCs w:val="24"/>
              </w:rPr>
              <w:t xml:space="preserve">)常规食品、饮料、烟、酒类产品；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(二)化妆品、服装、家具、小家电等日用产品；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(三)用进口零部件(包括散件)组装的产品；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(四)引进技术和设备的消化吸收国产化率低于60％的产品；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(五)单纯为军工配套的产品；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(六)传统手工艺品；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(七)单纯改变花色、外观与包装的产品；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(八)动、植物品种资源；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(九)高能耗、污染环境的产品；</w:t>
            </w:r>
          </w:p>
          <w:p w:rsidR="00A25A86" w:rsidRPr="00A25A86" w:rsidRDefault="00A25A86" w:rsidP="00A25A86">
            <w:pPr>
              <w:widowControl/>
              <w:spacing w:before="100" w:beforeAutospacing="1" w:after="100" w:afterAutospacing="1" w:line="270" w:lineRule="atLeast"/>
              <w:jc w:val="center"/>
              <w:rPr>
                <w:rFonts w:asciiTheme="minorEastAsia" w:hAnsiTheme="minorEastAsia" w:cs="宋体"/>
                <w:kern w:val="0"/>
                <w:sz w:val="24"/>
                <w:szCs w:val="24"/>
              </w:rPr>
            </w:pPr>
            <w:r w:rsidRPr="00A25A86">
              <w:rPr>
                <w:rFonts w:asciiTheme="minorEastAsia" w:hAnsiTheme="minorEastAsia" w:cs="宋体"/>
                <w:kern w:val="0"/>
                <w:sz w:val="24"/>
                <w:szCs w:val="24"/>
              </w:rPr>
              <w:t xml:space="preserve">　　</w:t>
            </w:r>
            <w:r w:rsidRPr="00A25A86">
              <w:rPr>
                <w:rFonts w:asciiTheme="minorEastAsia" w:hAnsiTheme="minorEastAsia" w:cs="宋体"/>
                <w:b/>
                <w:bCs/>
                <w:kern w:val="0"/>
                <w:sz w:val="24"/>
                <w:szCs w:val="24"/>
              </w:rPr>
              <w:t>第三章 申 报</w:t>
            </w:r>
            <w:r w:rsidRPr="00A25A86">
              <w:rPr>
                <w:rFonts w:asciiTheme="minorEastAsia" w:hAnsiTheme="minorEastAsia" w:cs="宋体"/>
                <w:kern w:val="0"/>
                <w:sz w:val="24"/>
                <w:szCs w:val="24"/>
              </w:rPr>
              <w:t xml:space="preserve">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第六条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国家科委根据国家产业政策、科技政策与科技计划管理的有关规定，定期发布</w:t>
            </w:r>
            <w:proofErr w:type="gramStart"/>
            <w:r w:rsidRPr="00A25A86">
              <w:rPr>
                <w:rFonts w:asciiTheme="minorEastAsia" w:hAnsiTheme="minorEastAsia" w:cs="宋体"/>
                <w:kern w:val="0"/>
                <w:sz w:val="24"/>
                <w:szCs w:val="24"/>
              </w:rPr>
              <w:t>《</w:t>
            </w:r>
            <w:proofErr w:type="gramEnd"/>
            <w:r w:rsidRPr="00A25A86">
              <w:rPr>
                <w:rFonts w:asciiTheme="minorEastAsia" w:hAnsiTheme="minorEastAsia" w:cs="宋体"/>
                <w:kern w:val="0"/>
                <w:sz w:val="24"/>
                <w:szCs w:val="24"/>
              </w:rPr>
              <w:t xml:space="preserve">国家重点新产品计划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申报指南</w:t>
            </w:r>
            <w:proofErr w:type="gramStart"/>
            <w:r w:rsidRPr="00A25A86">
              <w:rPr>
                <w:rFonts w:asciiTheme="minorEastAsia" w:hAnsiTheme="minorEastAsia" w:cs="宋体"/>
                <w:kern w:val="0"/>
                <w:sz w:val="24"/>
                <w:szCs w:val="24"/>
              </w:rPr>
              <w:t>》</w:t>
            </w:r>
            <w:proofErr w:type="gramEnd"/>
            <w:r w:rsidRPr="00A25A86">
              <w:rPr>
                <w:rFonts w:asciiTheme="minorEastAsia" w:hAnsiTheme="minorEastAsia" w:cs="宋体"/>
                <w:kern w:val="0"/>
                <w:sz w:val="24"/>
                <w:szCs w:val="24"/>
              </w:rPr>
              <w:t xml:space="preserve">。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第七条 申报新产品计划的项目，应当具备下列条件：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w:t>
            </w:r>
            <w:proofErr w:type="gramStart"/>
            <w:r w:rsidRPr="00A25A86">
              <w:rPr>
                <w:rFonts w:asciiTheme="minorEastAsia" w:hAnsiTheme="minorEastAsia" w:cs="宋体"/>
                <w:kern w:val="0"/>
                <w:sz w:val="24"/>
                <w:szCs w:val="24"/>
              </w:rPr>
              <w:t>一</w:t>
            </w:r>
            <w:proofErr w:type="gramEnd"/>
            <w:r w:rsidRPr="00A25A86">
              <w:rPr>
                <w:rFonts w:asciiTheme="minorEastAsia" w:hAnsiTheme="minorEastAsia" w:cs="宋体"/>
                <w:kern w:val="0"/>
                <w:sz w:val="24"/>
                <w:szCs w:val="24"/>
              </w:rPr>
              <w:t xml:space="preserve">)在国内首次(或首批)开发成功，并已有市场销售的产品；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(二)符合国家产业政策、技术政策和相关的行业政策；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(三)技术水平和产品性能较高，具备国内先进水平的产品；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(四)具有显著经济、社会效益，有很好的市场发展前景；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(五)没有与所申报产品相关的知识产权纠纷。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第八条 已列入过新产品计划的项目不得重复申报。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第九条 凡开发或生产符合本办法第四条新产品的企业、科研单位(包括</w:t>
            </w:r>
            <w:r w:rsidRPr="00A25A86">
              <w:rPr>
                <w:rFonts w:asciiTheme="minorEastAsia" w:hAnsiTheme="minorEastAsia" w:cs="宋体"/>
                <w:kern w:val="0"/>
                <w:sz w:val="24"/>
                <w:szCs w:val="24"/>
              </w:rPr>
              <w:lastRenderedPageBreak/>
              <w:t xml:space="preserve">私营及中方控股中外合资经营企事业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单位)均可申报，联合研制开发或生产的可单独或联合申报。通过技术转让获得的新产品可由新产品生产单位单独申报或由生产单位与原技术开发单位联合申报。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第十条 在各省、自治区、直辖市、计划单列市(以下简称地方)的地方企业、科研单位，由项目开发单位通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过所在地、市科委向本地方科委申报；国家高新技术开发区的企业、科研单位，由项目开发单位向所在地方科委申报。国务院有关部门直属企业、科研单位的项目，由开发单位向主管部门科技司(局)申报，或向申报单位所在地方科委申报。中国人民解放军所属企业、科研单位的民品项目，可向中国人民解放军总后勤部或所在地方科委申报。凡通过国务院有关部门或中国人民解放军总后勤部申报的项目，须同时将申报表格送申报单位所在地方科委备案。申报项目只能选择一个渠道申报，否则取消资格。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第十一条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申报项目材料须一式三份报送国家科委。申报所需材料一般包括：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w:t>
            </w:r>
            <w:proofErr w:type="gramStart"/>
            <w:r w:rsidRPr="00A25A86">
              <w:rPr>
                <w:rFonts w:asciiTheme="minorEastAsia" w:hAnsiTheme="minorEastAsia" w:cs="宋体"/>
                <w:kern w:val="0"/>
                <w:sz w:val="24"/>
                <w:szCs w:val="24"/>
              </w:rPr>
              <w:t>一</w:t>
            </w:r>
            <w:proofErr w:type="gramEnd"/>
            <w:r w:rsidRPr="00A25A86">
              <w:rPr>
                <w:rFonts w:asciiTheme="minorEastAsia" w:hAnsiTheme="minorEastAsia" w:cs="宋体"/>
                <w:kern w:val="0"/>
                <w:sz w:val="24"/>
                <w:szCs w:val="24"/>
              </w:rPr>
              <w:t xml:space="preserve">)《国家重点新产品计划申报表》；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(二)鉴定证书或评估报告或相当的技术证明材料；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(三)国家一级查新单位或相应查新单位出具的查新检测报告；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(四)指定检测单位或相关的检测机构提供的产品质量、性能测试报告；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(五)用户使用意见或相关材料；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(六)证明其取得知识产权和获奖情况的相关材料；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(七)环保等部门提供的与申报项目密切相关的证明材料(如环保许可证、采用国际或国家标准证明等)；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(八)已申请银行贷款的项目，需提供银行贷款相关证明材料；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(九)其它根据需要所确定的辅助材料。如对于医药、农药、计量器具、压力容器、邮电通信等有特殊行业管理要求的新产品，申报时必须附加特殊许可证或主管部门的正式批准文件。</w:t>
            </w:r>
          </w:p>
          <w:p w:rsidR="00A25A86" w:rsidRPr="00A25A86" w:rsidRDefault="00A25A86" w:rsidP="00A25A86">
            <w:pPr>
              <w:widowControl/>
              <w:spacing w:before="100" w:beforeAutospacing="1" w:after="100" w:afterAutospacing="1" w:line="270" w:lineRule="atLeast"/>
              <w:jc w:val="center"/>
              <w:rPr>
                <w:rFonts w:asciiTheme="minorEastAsia" w:hAnsiTheme="minorEastAsia" w:cs="宋体"/>
                <w:kern w:val="0"/>
                <w:sz w:val="24"/>
                <w:szCs w:val="24"/>
              </w:rPr>
            </w:pPr>
            <w:r w:rsidRPr="00A25A86">
              <w:rPr>
                <w:rFonts w:asciiTheme="minorEastAsia" w:hAnsiTheme="minorEastAsia" w:cs="宋体"/>
                <w:kern w:val="0"/>
                <w:sz w:val="24"/>
                <w:szCs w:val="24"/>
              </w:rPr>
              <w:t xml:space="preserve">　　</w:t>
            </w:r>
            <w:r w:rsidRPr="00A25A86">
              <w:rPr>
                <w:rFonts w:asciiTheme="minorEastAsia" w:hAnsiTheme="minorEastAsia" w:cs="宋体"/>
                <w:b/>
                <w:bCs/>
                <w:kern w:val="0"/>
                <w:sz w:val="24"/>
                <w:szCs w:val="24"/>
              </w:rPr>
              <w:t>第四章 计划管理</w:t>
            </w:r>
            <w:r w:rsidRPr="00A25A86">
              <w:rPr>
                <w:rFonts w:asciiTheme="minorEastAsia" w:hAnsiTheme="minorEastAsia" w:cs="宋体"/>
                <w:kern w:val="0"/>
                <w:sz w:val="24"/>
                <w:szCs w:val="24"/>
              </w:rPr>
              <w:t xml:space="preserve">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第十二条 申报新产品计划的项目，分别由各省(市、区)科委和国务院</w:t>
            </w:r>
            <w:r w:rsidRPr="00A25A86">
              <w:rPr>
                <w:rFonts w:asciiTheme="minorEastAsia" w:hAnsiTheme="minorEastAsia" w:cs="宋体"/>
                <w:kern w:val="0"/>
                <w:sz w:val="24"/>
                <w:szCs w:val="24"/>
              </w:rPr>
              <w:lastRenderedPageBreak/>
              <w:t xml:space="preserve">各部门科技司(局)负责组织评审。新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产品评审以评估方式进行，由具有资格的评估机构具体执行，评审过程中应聘请熟悉有关技术、了解市场营销和管理方面的专家。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评审的主要内容包括：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w:t>
            </w:r>
            <w:proofErr w:type="gramStart"/>
            <w:r w:rsidRPr="00A25A86">
              <w:rPr>
                <w:rFonts w:asciiTheme="minorEastAsia" w:hAnsiTheme="minorEastAsia" w:cs="宋体"/>
                <w:kern w:val="0"/>
                <w:sz w:val="24"/>
                <w:szCs w:val="24"/>
              </w:rPr>
              <w:t>一</w:t>
            </w:r>
            <w:proofErr w:type="gramEnd"/>
            <w:r w:rsidRPr="00A25A86">
              <w:rPr>
                <w:rFonts w:asciiTheme="minorEastAsia" w:hAnsiTheme="minorEastAsia" w:cs="宋体"/>
                <w:kern w:val="0"/>
                <w:sz w:val="24"/>
                <w:szCs w:val="24"/>
              </w:rPr>
              <w:t xml:space="preserve">)是否符合国家产业政策；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(二)产品技术水平；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(三)产品的经济和社会效益；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(四)产品市场前景；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(五)是否符合新产品计划所要求的申报条件和程序。对评审通过的项目，由地方科委或部门科技司(局)提出审查意见。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第十三条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各地区和部门评审合格的项目，经择优排序后，汇总上报国家科委。国家科委组织有关专家进行认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定。项目认定的主要内容包括：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w:t>
            </w:r>
            <w:proofErr w:type="gramStart"/>
            <w:r w:rsidRPr="00A25A86">
              <w:rPr>
                <w:rFonts w:asciiTheme="minorEastAsia" w:hAnsiTheme="minorEastAsia" w:cs="宋体"/>
                <w:kern w:val="0"/>
                <w:sz w:val="24"/>
                <w:szCs w:val="24"/>
              </w:rPr>
              <w:t>一</w:t>
            </w:r>
            <w:proofErr w:type="gramEnd"/>
            <w:r w:rsidRPr="00A25A86">
              <w:rPr>
                <w:rFonts w:asciiTheme="minorEastAsia" w:hAnsiTheme="minorEastAsia" w:cs="宋体"/>
                <w:kern w:val="0"/>
                <w:sz w:val="24"/>
                <w:szCs w:val="24"/>
              </w:rPr>
              <w:t xml:space="preserve">)申报、评审的程序和标准是否符合要求；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(二)项目技术是否达到国内先进水平；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(三)市场营销和市场潜力是否真实；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(四)相同或同类产品是否有重复；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第十四条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在评审和认定的基础上，国家科委组织编制《国家重点新产品计划》年度本子，并下达到各地方科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委及各部门科技司(局)。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第十五条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列入新产品计划的项目，将由国家科委等部门联合颁发《国家重点新产品》证书。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lastRenderedPageBreak/>
              <w:t xml:space="preserve">　　第十六条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国家对列入新产品计划的项目，根据国家政策从中选择重点，予以一定数额的财政拨款补助。确定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重点项目的原则为：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w:t>
            </w:r>
            <w:proofErr w:type="gramStart"/>
            <w:r w:rsidRPr="00A25A86">
              <w:rPr>
                <w:rFonts w:asciiTheme="minorEastAsia" w:hAnsiTheme="minorEastAsia" w:cs="宋体"/>
                <w:kern w:val="0"/>
                <w:sz w:val="24"/>
                <w:szCs w:val="24"/>
              </w:rPr>
              <w:t>一</w:t>
            </w:r>
            <w:proofErr w:type="gramEnd"/>
            <w:r w:rsidRPr="00A25A86">
              <w:rPr>
                <w:rFonts w:asciiTheme="minorEastAsia" w:hAnsiTheme="minorEastAsia" w:cs="宋体"/>
                <w:kern w:val="0"/>
                <w:sz w:val="24"/>
                <w:szCs w:val="24"/>
              </w:rPr>
              <w:t xml:space="preserve">)属于国家优先扶植的重点产业或高技术产业的重大新产品；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(二)技术含量高、附加值高、有自主知识产权的新产品；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(三)竞争力强、市场潜力大、能在短时间内形成上亿元销售额的新产品；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(四)研究开发实力强、能持续不断开拓创新的企、事业单位所开发的新产品；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(五)已有一定的生产规模，且经济、社会效益显著，对国家贡献大的新产品；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(六)地方政府予以配套重点支持的新产品。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第十七条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国家对列入新产品计划的部分项目择优予以一定数额的贷款利息补贴支持。确定贷款利息补贴项目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的条件为：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w:t>
            </w:r>
            <w:proofErr w:type="gramStart"/>
            <w:r w:rsidRPr="00A25A86">
              <w:rPr>
                <w:rFonts w:asciiTheme="minorEastAsia" w:hAnsiTheme="minorEastAsia" w:cs="宋体"/>
                <w:kern w:val="0"/>
                <w:sz w:val="24"/>
                <w:szCs w:val="24"/>
              </w:rPr>
              <w:t>一</w:t>
            </w:r>
            <w:proofErr w:type="gramEnd"/>
            <w:r w:rsidRPr="00A25A86">
              <w:rPr>
                <w:rFonts w:asciiTheme="minorEastAsia" w:hAnsiTheme="minorEastAsia" w:cs="宋体"/>
                <w:kern w:val="0"/>
                <w:sz w:val="24"/>
                <w:szCs w:val="24"/>
              </w:rPr>
              <w:t xml:space="preserve">)企业和科研单位在开发重点新产品中已获得金融机构贷款支持，产品产业化、规模化生产有较大发展前景且效益显著；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(二)贷款年限一般为l至3年的中长期贷款，并与银行已签订中长期借款合同；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(三)贷款额度一般应在500万元以上；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(四)经地方科委或部门科技司(局)推荐。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第十八条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拨款补助项目和贷款利息补贴项目的经费由国家科委和财政部联合下达。经费严格按照</w:t>
            </w:r>
            <w:proofErr w:type="gramStart"/>
            <w:r w:rsidRPr="00A25A86">
              <w:rPr>
                <w:rFonts w:asciiTheme="minorEastAsia" w:hAnsiTheme="minorEastAsia" w:cs="宋体"/>
                <w:kern w:val="0"/>
                <w:sz w:val="24"/>
                <w:szCs w:val="24"/>
              </w:rPr>
              <w:t>《</w:t>
            </w:r>
            <w:proofErr w:type="gramEnd"/>
            <w:r w:rsidRPr="00A25A86">
              <w:rPr>
                <w:rFonts w:asciiTheme="minorEastAsia" w:hAnsiTheme="minorEastAsia" w:cs="宋体"/>
                <w:kern w:val="0"/>
                <w:sz w:val="24"/>
                <w:szCs w:val="24"/>
              </w:rPr>
              <w:t xml:space="preserve">国家级重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点新产品补贴经费管理办法(试行)</w:t>
            </w:r>
            <w:proofErr w:type="gramStart"/>
            <w:r w:rsidRPr="00A25A86">
              <w:rPr>
                <w:rFonts w:asciiTheme="minorEastAsia" w:hAnsiTheme="minorEastAsia" w:cs="宋体"/>
                <w:kern w:val="0"/>
                <w:sz w:val="24"/>
                <w:szCs w:val="24"/>
              </w:rPr>
              <w:t>》</w:t>
            </w:r>
            <w:proofErr w:type="gramEnd"/>
            <w:r w:rsidRPr="00A25A86">
              <w:rPr>
                <w:rFonts w:asciiTheme="minorEastAsia" w:hAnsiTheme="minorEastAsia" w:cs="宋体"/>
                <w:kern w:val="0"/>
                <w:sz w:val="24"/>
                <w:szCs w:val="24"/>
              </w:rPr>
              <w:t xml:space="preserve">规定管理，专款专用。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第十九条 新产品计划下达后，各地方科委和各部门科技司(局)应加强</w:t>
            </w:r>
            <w:r w:rsidRPr="00A25A86">
              <w:rPr>
                <w:rFonts w:asciiTheme="minorEastAsia" w:hAnsiTheme="minorEastAsia" w:cs="宋体"/>
                <w:kern w:val="0"/>
                <w:sz w:val="24"/>
                <w:szCs w:val="24"/>
              </w:rPr>
              <w:lastRenderedPageBreak/>
              <w:t xml:space="preserve">跟踪和管理，掌握本地区和本部门新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产品工作全面情况，包括相关政策的落实情况，特别对获得国家财政补助支持的重大项目要加强引导和监督。每年6月30日前将上一年度新产品工作情况及重大项目的实施情况报送国家科委。</w:t>
            </w:r>
          </w:p>
          <w:p w:rsidR="00A25A86" w:rsidRPr="00A25A86" w:rsidRDefault="00A25A86" w:rsidP="00A25A86">
            <w:pPr>
              <w:widowControl/>
              <w:spacing w:before="100" w:beforeAutospacing="1" w:after="100" w:afterAutospacing="1" w:line="270" w:lineRule="atLeast"/>
              <w:jc w:val="center"/>
              <w:rPr>
                <w:rFonts w:asciiTheme="minorEastAsia" w:hAnsiTheme="minorEastAsia" w:cs="宋体"/>
                <w:kern w:val="0"/>
                <w:sz w:val="24"/>
                <w:szCs w:val="24"/>
              </w:rPr>
            </w:pPr>
            <w:r w:rsidRPr="00A25A86">
              <w:rPr>
                <w:rFonts w:asciiTheme="minorEastAsia" w:hAnsiTheme="minorEastAsia" w:cs="宋体"/>
                <w:kern w:val="0"/>
                <w:sz w:val="24"/>
                <w:szCs w:val="24"/>
              </w:rPr>
              <w:t xml:space="preserve">　　</w:t>
            </w:r>
            <w:r w:rsidRPr="00A25A86">
              <w:rPr>
                <w:rFonts w:asciiTheme="minorEastAsia" w:hAnsiTheme="minorEastAsia" w:cs="宋体"/>
                <w:b/>
                <w:bCs/>
                <w:kern w:val="0"/>
                <w:sz w:val="24"/>
                <w:szCs w:val="24"/>
              </w:rPr>
              <w:t>第五章 附 则</w:t>
            </w:r>
            <w:r w:rsidRPr="00A25A86">
              <w:rPr>
                <w:rFonts w:asciiTheme="minorEastAsia" w:hAnsiTheme="minorEastAsia" w:cs="宋体"/>
                <w:kern w:val="0"/>
                <w:sz w:val="24"/>
                <w:szCs w:val="24"/>
              </w:rPr>
              <w:t xml:space="preserve">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第二十条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各级政府和有关部门应结合本地方、本部门的特点，组织实施本地方、本部门的新产品计划，并制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w:t>
            </w:r>
            <w:proofErr w:type="gramStart"/>
            <w:r w:rsidRPr="00A25A86">
              <w:rPr>
                <w:rFonts w:asciiTheme="minorEastAsia" w:hAnsiTheme="minorEastAsia" w:cs="宋体"/>
                <w:kern w:val="0"/>
                <w:sz w:val="24"/>
                <w:szCs w:val="24"/>
              </w:rPr>
              <w:t>定促进</w:t>
            </w:r>
            <w:proofErr w:type="gramEnd"/>
            <w:r w:rsidRPr="00A25A86">
              <w:rPr>
                <w:rFonts w:asciiTheme="minorEastAsia" w:hAnsiTheme="minorEastAsia" w:cs="宋体"/>
                <w:kern w:val="0"/>
                <w:sz w:val="24"/>
                <w:szCs w:val="24"/>
              </w:rPr>
              <w:t xml:space="preserve">企业、科研单位开发新产品和实施新产品计划的财政支持与税收优惠政策和配套措施。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第二十一条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各地方、各部门应加强新产品计划的宣传，并根据本地方、本部门具体情况，参照本办法的原则，制订实施细则及本地方、本部门的管理办法。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第二十二条 本规定自发布之日起施行。 </w:t>
            </w:r>
          </w:p>
          <w:p w:rsidR="00A25A86" w:rsidRPr="00A25A86" w:rsidRDefault="00A25A86" w:rsidP="00A25A86">
            <w:pPr>
              <w:widowControl/>
              <w:spacing w:before="100" w:beforeAutospacing="1" w:after="100" w:afterAutospacing="1" w:line="270" w:lineRule="atLeast"/>
              <w:rPr>
                <w:rFonts w:asciiTheme="minorEastAsia" w:hAnsiTheme="minorEastAsia" w:cs="宋体"/>
                <w:kern w:val="0"/>
                <w:sz w:val="24"/>
                <w:szCs w:val="24"/>
              </w:rPr>
            </w:pPr>
            <w:r w:rsidRPr="00A25A86">
              <w:rPr>
                <w:rFonts w:asciiTheme="minorEastAsia" w:hAnsiTheme="minorEastAsia" w:cs="宋体"/>
                <w:kern w:val="0"/>
                <w:sz w:val="24"/>
                <w:szCs w:val="24"/>
              </w:rPr>
              <w:t xml:space="preserve">　　注：国家科委、国家税务总局、国家工商局、外经贸部、国家技术监督局、国家环保局、国家外国专家局、劳动部联合发文，1997年11月29日以国科发计字[1997]503号发布实施。 </w:t>
            </w:r>
          </w:p>
        </w:tc>
      </w:tr>
    </w:tbl>
    <w:p w:rsidR="00135B22" w:rsidRPr="00A25A86" w:rsidRDefault="00135B22">
      <w:pPr>
        <w:rPr>
          <w:rFonts w:asciiTheme="minorEastAsia" w:hAnsiTheme="minorEastAsia" w:hint="eastAsia"/>
          <w:sz w:val="24"/>
          <w:szCs w:val="24"/>
        </w:rPr>
      </w:pPr>
    </w:p>
    <w:sectPr w:rsidR="00135B22" w:rsidRPr="00A25A86" w:rsidSect="00135B2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25A86"/>
    <w:rsid w:val="00135B22"/>
    <w:rsid w:val="00A25A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B22"/>
    <w:pPr>
      <w:widowControl w:val="0"/>
      <w:jc w:val="both"/>
    </w:pPr>
  </w:style>
  <w:style w:type="paragraph" w:styleId="2">
    <w:name w:val="heading 2"/>
    <w:basedOn w:val="a"/>
    <w:link w:val="2Char"/>
    <w:uiPriority w:val="9"/>
    <w:qFormat/>
    <w:rsid w:val="00A25A8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A25A86"/>
    <w:rPr>
      <w:rFonts w:ascii="宋体" w:eastAsia="宋体" w:hAnsi="宋体" w:cs="宋体"/>
      <w:b/>
      <w:bCs/>
      <w:kern w:val="0"/>
      <w:sz w:val="36"/>
      <w:szCs w:val="36"/>
    </w:rPr>
  </w:style>
  <w:style w:type="paragraph" w:styleId="a3">
    <w:name w:val="Normal (Web)"/>
    <w:basedOn w:val="a"/>
    <w:uiPriority w:val="99"/>
    <w:unhideWhenUsed/>
    <w:rsid w:val="00A25A8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25A86"/>
    <w:rPr>
      <w:b/>
      <w:bCs/>
    </w:rPr>
  </w:style>
  <w:style w:type="paragraph" w:customStyle="1" w:styleId="union">
    <w:name w:val="union"/>
    <w:basedOn w:val="a"/>
    <w:rsid w:val="00A25A86"/>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A25A86"/>
    <w:rPr>
      <w:sz w:val="18"/>
      <w:szCs w:val="18"/>
    </w:rPr>
  </w:style>
  <w:style w:type="character" w:customStyle="1" w:styleId="Char">
    <w:name w:val="批注框文本 Char"/>
    <w:basedOn w:val="a0"/>
    <w:link w:val="a5"/>
    <w:uiPriority w:val="99"/>
    <w:semiHidden/>
    <w:rsid w:val="00A25A86"/>
    <w:rPr>
      <w:sz w:val="18"/>
      <w:szCs w:val="18"/>
    </w:rPr>
  </w:style>
</w:styles>
</file>

<file path=word/webSettings.xml><?xml version="1.0" encoding="utf-8"?>
<w:webSettings xmlns:r="http://schemas.openxmlformats.org/officeDocument/2006/relationships" xmlns:w="http://schemas.openxmlformats.org/wordprocessingml/2006/main">
  <w:divs>
    <w:div w:id="1191603430">
      <w:bodyDiv w:val="1"/>
      <w:marLeft w:val="0"/>
      <w:marRight w:val="0"/>
      <w:marTop w:val="0"/>
      <w:marBottom w:val="0"/>
      <w:divBdr>
        <w:top w:val="none" w:sz="0" w:space="0" w:color="auto"/>
        <w:left w:val="none" w:sz="0" w:space="0" w:color="auto"/>
        <w:bottom w:val="none" w:sz="0" w:space="0" w:color="auto"/>
        <w:right w:val="none" w:sz="0" w:space="0" w:color="auto"/>
      </w:divBdr>
      <w:divsChild>
        <w:div w:id="816609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530</Words>
  <Characters>3024</Characters>
  <Application>Microsoft Office Word</Application>
  <DocSecurity>0</DocSecurity>
  <Lines>25</Lines>
  <Paragraphs>7</Paragraphs>
  <ScaleCrop>false</ScaleCrop>
  <Company>China</Company>
  <LinksUpToDate>false</LinksUpToDate>
  <CharactersWithSpaces>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2014-03-11T08:34:00Z</dcterms:created>
  <dcterms:modified xsi:type="dcterms:W3CDTF">2014-03-11T08:36:00Z</dcterms:modified>
</cp:coreProperties>
</file>