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F36826">
      <w:pPr>
        <w:adjustRightInd w:val="0"/>
        <w:snapToGrid w:val="0"/>
        <w:spacing w:line="360" w:lineRule="auto"/>
        <w:rPr>
          <w:rFonts w:ascii="黑体" w:eastAsia="黑体"/>
          <w:sz w:val="36"/>
        </w:rPr>
      </w:pPr>
      <w:r>
        <w:rPr>
          <w:rFonts w:hint="eastAsia" w:ascii="黑体" w:eastAsia="黑体"/>
          <w:sz w:val="28"/>
        </w:rPr>
        <w:t>附件1</w:t>
      </w:r>
    </w:p>
    <w:p w14:paraId="24AED71A">
      <w:pPr>
        <w:adjustRightInd w:val="0"/>
        <w:snapToGrid w:val="0"/>
        <w:spacing w:line="360" w:lineRule="auto"/>
        <w:jc w:val="center"/>
        <w:rPr>
          <w:rFonts w:ascii="宋体"/>
          <w:b/>
          <w:bCs/>
          <w:sz w:val="36"/>
        </w:rPr>
      </w:pPr>
      <w:r>
        <w:rPr>
          <w:rFonts w:hint="eastAsia" w:ascii="宋体"/>
          <w:b/>
          <w:bCs/>
          <w:sz w:val="36"/>
        </w:rPr>
        <w:t>中国石油和化工行业知识产权示范企业</w:t>
      </w:r>
    </w:p>
    <w:p w14:paraId="20F768F3">
      <w:pPr>
        <w:adjustRightInd w:val="0"/>
        <w:snapToGrid w:val="0"/>
        <w:spacing w:line="360" w:lineRule="auto"/>
        <w:jc w:val="center"/>
        <w:rPr>
          <w:rFonts w:ascii="宋体"/>
          <w:b/>
          <w:bCs/>
          <w:sz w:val="36"/>
        </w:rPr>
      </w:pPr>
      <w:r>
        <w:rPr>
          <w:rFonts w:hint="eastAsia" w:ascii="宋体"/>
          <w:b/>
          <w:bCs/>
          <w:sz w:val="36"/>
        </w:rPr>
        <w:t>认定管理办法</w:t>
      </w:r>
    </w:p>
    <w:p w14:paraId="72857CFC">
      <w:pPr>
        <w:adjustRightInd w:val="0"/>
        <w:snapToGrid w:val="0"/>
        <w:spacing w:line="360" w:lineRule="auto"/>
        <w:jc w:val="center"/>
        <w:rPr>
          <w:rFonts w:ascii="宋体"/>
          <w:b/>
          <w:bCs/>
          <w:sz w:val="28"/>
        </w:rPr>
      </w:pPr>
      <w:r>
        <w:rPr>
          <w:rFonts w:hint="eastAsia" w:ascii="宋体"/>
          <w:b/>
          <w:bCs/>
          <w:sz w:val="28"/>
        </w:rPr>
        <w:t>（202</w:t>
      </w:r>
      <w:r>
        <w:rPr>
          <w:rFonts w:hint="eastAsia" w:ascii="宋体"/>
          <w:b/>
          <w:bCs/>
          <w:sz w:val="28"/>
          <w:lang w:val="en-US" w:eastAsia="zh-CN"/>
        </w:rPr>
        <w:t>3</w:t>
      </w:r>
      <w:bookmarkStart w:id="3" w:name="_GoBack"/>
      <w:bookmarkEnd w:id="3"/>
      <w:r>
        <w:rPr>
          <w:rFonts w:hint="eastAsia" w:ascii="宋体"/>
          <w:b/>
          <w:bCs/>
          <w:sz w:val="28"/>
        </w:rPr>
        <w:t>年修订）</w:t>
      </w:r>
    </w:p>
    <w:p w14:paraId="43860CB3">
      <w:pPr>
        <w:adjustRightInd w:val="0"/>
        <w:snapToGrid w:val="0"/>
        <w:spacing w:line="360" w:lineRule="auto"/>
        <w:jc w:val="center"/>
        <w:rPr>
          <w:rFonts w:ascii="黑体" w:eastAsia="黑体"/>
          <w:bCs/>
          <w:sz w:val="28"/>
        </w:rPr>
      </w:pPr>
      <w:r>
        <w:rPr>
          <w:rFonts w:hint="eastAsia" w:ascii="黑体" w:eastAsia="黑体"/>
          <w:bCs/>
          <w:sz w:val="28"/>
        </w:rPr>
        <w:t>第一章  总则</w:t>
      </w:r>
    </w:p>
    <w:p w14:paraId="5504227D">
      <w:pPr>
        <w:adjustRightInd w:val="0"/>
        <w:snapToGrid w:val="0"/>
        <w:spacing w:line="360" w:lineRule="auto"/>
        <w:ind w:firstLine="560" w:firstLineChars="200"/>
        <w:rPr>
          <w:rFonts w:ascii="黑体" w:eastAsia="黑体"/>
          <w:sz w:val="28"/>
        </w:rPr>
      </w:pPr>
      <w:r>
        <w:rPr>
          <w:rFonts w:hint="eastAsia" w:ascii="黑体" w:eastAsia="黑体"/>
          <w:sz w:val="28"/>
        </w:rPr>
        <w:t xml:space="preserve">第一条  </w:t>
      </w:r>
      <w:r>
        <w:rPr>
          <w:rFonts w:hint="eastAsia" w:ascii="仿宋_GB2312" w:eastAsia="仿宋_GB2312"/>
          <w:sz w:val="28"/>
        </w:rPr>
        <w:t>为</w:t>
      </w:r>
      <w:r>
        <w:rPr>
          <w:rFonts w:ascii="仿宋_GB2312" w:eastAsia="仿宋_GB2312"/>
          <w:sz w:val="28"/>
        </w:rPr>
        <w:t>贯彻落实《中国制造2025》和《</w:t>
      </w:r>
      <w:r>
        <w:rPr>
          <w:rFonts w:hint="eastAsia" w:ascii="仿宋_GB2312" w:eastAsia="仿宋_GB2312"/>
          <w:sz w:val="28"/>
        </w:rPr>
        <w:t>“十</w:t>
      </w:r>
      <w:r>
        <w:rPr>
          <w:rFonts w:hint="eastAsia" w:ascii="仿宋_GB2312" w:eastAsia="仿宋_GB2312"/>
          <w:sz w:val="28"/>
          <w:lang w:val="en-US" w:eastAsia="zh-CN"/>
        </w:rPr>
        <w:t>四</w:t>
      </w:r>
      <w:r>
        <w:rPr>
          <w:rFonts w:hint="eastAsia" w:ascii="仿宋_GB2312" w:eastAsia="仿宋_GB2312"/>
          <w:sz w:val="28"/>
        </w:rPr>
        <w:t>五”国家知识产权保护和运用规划</w:t>
      </w:r>
      <w:r>
        <w:rPr>
          <w:rFonts w:ascii="仿宋_GB2312" w:eastAsia="仿宋_GB2312"/>
          <w:sz w:val="28"/>
        </w:rPr>
        <w:t>》，</w:t>
      </w:r>
      <w:r>
        <w:rPr>
          <w:rFonts w:hint="eastAsia" w:ascii="仿宋_GB2312" w:eastAsia="仿宋_GB2312"/>
          <w:sz w:val="28"/>
        </w:rPr>
        <w:t>全面加强知识产权保护，高效促进知识产权运用，激发全社会创新活力，推动构建新发展格局，</w:t>
      </w:r>
      <w:r>
        <w:rPr>
          <w:rFonts w:ascii="仿宋_GB2312" w:eastAsia="仿宋_GB2312"/>
          <w:sz w:val="28"/>
        </w:rPr>
        <w:t>推动工业转型升级，提升产业竞争力</w:t>
      </w:r>
      <w:r>
        <w:rPr>
          <w:rFonts w:hint="eastAsia" w:ascii="仿宋_GB2312" w:eastAsia="仿宋_GB2312"/>
          <w:sz w:val="28"/>
        </w:rPr>
        <w:t>，特制订本办法。</w:t>
      </w:r>
    </w:p>
    <w:p w14:paraId="74AEA2C7">
      <w:pPr>
        <w:adjustRightInd w:val="0"/>
        <w:snapToGrid w:val="0"/>
        <w:spacing w:line="360" w:lineRule="auto"/>
        <w:ind w:firstLine="560" w:firstLineChars="200"/>
        <w:rPr>
          <w:rFonts w:ascii="仿宋_GB2312" w:eastAsia="仿宋_GB2312"/>
          <w:sz w:val="28"/>
        </w:rPr>
      </w:pPr>
      <w:r>
        <w:rPr>
          <w:rFonts w:hint="eastAsia" w:ascii="黑体" w:eastAsia="黑体"/>
          <w:sz w:val="28"/>
        </w:rPr>
        <w:t>第二条</w:t>
      </w:r>
      <w:r>
        <w:rPr>
          <w:rFonts w:hint="eastAsia" w:ascii="仿宋_GB2312" w:eastAsia="仿宋_GB2312"/>
          <w:sz w:val="28"/>
        </w:rPr>
        <w:t xml:space="preserve">  中国石油和化工行业知识产权示范企业（以下简称“示范企业”）是指在石油和化学工业相关产业或领域中知识产权创造能力较强、重视知识产权保护、注重知识产权转化应用、具有重要示范引领作用的企业。</w:t>
      </w:r>
    </w:p>
    <w:p w14:paraId="32197CA8">
      <w:pPr>
        <w:adjustRightInd w:val="0"/>
        <w:snapToGrid w:val="0"/>
        <w:spacing w:line="360" w:lineRule="auto"/>
        <w:ind w:firstLine="560" w:firstLineChars="200"/>
        <w:rPr>
          <w:rFonts w:ascii="仿宋_GB2312" w:eastAsia="仿宋_GB2312"/>
          <w:sz w:val="28"/>
        </w:rPr>
      </w:pPr>
      <w:r>
        <w:rPr>
          <w:rFonts w:hint="eastAsia" w:ascii="黑体" w:eastAsia="黑体"/>
          <w:sz w:val="28"/>
        </w:rPr>
        <w:t>第三条</w:t>
      </w:r>
      <w:r>
        <w:rPr>
          <w:rFonts w:hint="eastAsia" w:ascii="仿宋_GB2312" w:eastAsia="仿宋_GB2312"/>
          <w:sz w:val="28"/>
        </w:rPr>
        <w:t xml:space="preserve">  示范企业认定工作遵循公平、公正、公开原则，统筹规划，合理配置资源，规范、有序推进。</w:t>
      </w:r>
    </w:p>
    <w:p w14:paraId="6AD73181">
      <w:pPr>
        <w:adjustRightInd w:val="0"/>
        <w:snapToGrid w:val="0"/>
        <w:spacing w:line="360" w:lineRule="auto"/>
        <w:ind w:firstLine="560" w:firstLineChars="200"/>
        <w:rPr>
          <w:rFonts w:ascii="仿宋_GB2312" w:eastAsia="仿宋_GB2312"/>
          <w:spacing w:val="-6"/>
          <w:sz w:val="28"/>
        </w:rPr>
      </w:pPr>
      <w:r>
        <w:rPr>
          <w:rFonts w:hint="eastAsia" w:ascii="黑体" w:eastAsia="黑体"/>
          <w:sz w:val="28"/>
        </w:rPr>
        <w:t>第四条</w:t>
      </w:r>
      <w:r>
        <w:rPr>
          <w:rFonts w:hint="eastAsia" w:ascii="仿宋_GB2312" w:eastAsia="仿宋_GB2312"/>
          <w:sz w:val="28"/>
        </w:rPr>
        <w:t xml:space="preserve">  中</w:t>
      </w:r>
      <w:r>
        <w:rPr>
          <w:rFonts w:hint="eastAsia" w:ascii="仿宋_GB2312" w:eastAsia="仿宋_GB2312"/>
          <w:spacing w:val="-6"/>
          <w:sz w:val="28"/>
        </w:rPr>
        <w:t>国石油和化学工业联合会科技与装备部负责示范企业认定的相关管理工作。</w:t>
      </w:r>
    </w:p>
    <w:p w14:paraId="3D1D8065">
      <w:pPr>
        <w:adjustRightInd w:val="0"/>
        <w:snapToGrid w:val="0"/>
        <w:spacing w:line="360" w:lineRule="auto"/>
        <w:jc w:val="center"/>
        <w:rPr>
          <w:rFonts w:ascii="黑体" w:eastAsia="黑体"/>
          <w:bCs/>
          <w:sz w:val="28"/>
        </w:rPr>
      </w:pPr>
      <w:r>
        <w:rPr>
          <w:rFonts w:hint="eastAsia" w:ascii="黑体" w:eastAsia="黑体"/>
          <w:bCs/>
          <w:sz w:val="28"/>
        </w:rPr>
        <w:t>第二章  认定</w:t>
      </w:r>
    </w:p>
    <w:p w14:paraId="6063A16E">
      <w:pPr>
        <w:adjustRightInd w:val="0"/>
        <w:snapToGrid w:val="0"/>
        <w:spacing w:line="360" w:lineRule="auto"/>
        <w:ind w:firstLine="560" w:firstLineChars="200"/>
        <w:rPr>
          <w:rFonts w:ascii="仿宋_GB2312" w:eastAsia="仿宋_GB2312"/>
          <w:sz w:val="28"/>
        </w:rPr>
      </w:pPr>
      <w:r>
        <w:rPr>
          <w:rFonts w:hint="eastAsia" w:ascii="黑体" w:eastAsia="黑体"/>
          <w:sz w:val="28"/>
        </w:rPr>
        <w:t>第五条</w:t>
      </w:r>
      <w:r>
        <w:rPr>
          <w:rFonts w:hint="eastAsia" w:ascii="仿宋_GB2312" w:eastAsia="仿宋_GB2312"/>
          <w:sz w:val="28"/>
        </w:rPr>
        <w:t xml:space="preserve">  示范企业每年组织认定一次。</w:t>
      </w:r>
    </w:p>
    <w:p w14:paraId="3009FD10">
      <w:pPr>
        <w:adjustRightInd w:val="0"/>
        <w:snapToGrid w:val="0"/>
        <w:spacing w:line="360" w:lineRule="auto"/>
        <w:ind w:firstLine="560" w:firstLineChars="200"/>
        <w:rPr>
          <w:rFonts w:ascii="仿宋_GB2312" w:eastAsia="仿宋_GB2312"/>
          <w:sz w:val="28"/>
        </w:rPr>
      </w:pPr>
      <w:r>
        <w:rPr>
          <w:rFonts w:hint="eastAsia" w:ascii="黑体" w:eastAsia="黑体"/>
          <w:sz w:val="28"/>
        </w:rPr>
        <w:t>第六条</w:t>
      </w:r>
      <w:r>
        <w:rPr>
          <w:rFonts w:hint="eastAsia" w:ascii="仿宋_GB2312" w:eastAsia="仿宋_GB2312"/>
          <w:sz w:val="28"/>
        </w:rPr>
        <w:t xml:space="preserve">  申报示范企业的基本条件</w:t>
      </w:r>
    </w:p>
    <w:p w14:paraId="4D24E015">
      <w:pPr>
        <w:adjustRightInd w:val="0"/>
        <w:snapToGrid w:val="0"/>
        <w:spacing w:line="360" w:lineRule="auto"/>
        <w:ind w:firstLine="537" w:firstLineChars="192"/>
        <w:rPr>
          <w:rFonts w:ascii="仿宋_GB2312" w:eastAsia="仿宋_GB2312"/>
          <w:sz w:val="28"/>
        </w:rPr>
      </w:pPr>
      <w:r>
        <w:rPr>
          <w:rFonts w:hint="eastAsia" w:ascii="仿宋_GB2312" w:eastAsia="仿宋_GB2312"/>
          <w:sz w:val="28"/>
        </w:rPr>
        <w:t xml:space="preserve">（一）具有独立法人资格的国有、合资（中方控股）、民营等各种所有制的企业。 </w:t>
      </w:r>
    </w:p>
    <w:p w14:paraId="36E5D6F2">
      <w:pPr>
        <w:adjustRightInd w:val="0"/>
        <w:snapToGrid w:val="0"/>
        <w:spacing w:line="360" w:lineRule="auto"/>
        <w:ind w:firstLine="537" w:firstLineChars="192"/>
        <w:rPr>
          <w:rFonts w:ascii="仿宋_GB2312" w:eastAsia="仿宋_GB2312"/>
          <w:sz w:val="28"/>
        </w:rPr>
      </w:pPr>
      <w:r>
        <w:rPr>
          <w:rFonts w:hint="eastAsia" w:ascii="仿宋_GB2312" w:eastAsia="仿宋_GB2312"/>
          <w:sz w:val="28"/>
        </w:rPr>
        <w:t>（二）重视知识产权工作，建有较为完善的知识产权管理制度，并有效执行。</w:t>
      </w:r>
    </w:p>
    <w:p w14:paraId="22737F7E">
      <w:pPr>
        <w:adjustRightInd w:val="0"/>
        <w:snapToGrid w:val="0"/>
        <w:spacing w:line="360" w:lineRule="auto"/>
        <w:ind w:firstLine="537" w:firstLineChars="192"/>
        <w:rPr>
          <w:rFonts w:ascii="仿宋_GB2312" w:eastAsia="仿宋_GB2312"/>
          <w:sz w:val="28"/>
        </w:rPr>
      </w:pPr>
      <w:r>
        <w:rPr>
          <w:rFonts w:hint="eastAsia" w:ascii="仿宋_GB2312" w:eastAsia="仿宋_GB2312"/>
          <w:sz w:val="28"/>
        </w:rPr>
        <w:t>（三）企业积累和储备有一定数量的知识产权，</w:t>
      </w:r>
      <w:bookmarkStart w:id="0" w:name="OLE_LINK4"/>
      <w:bookmarkStart w:id="1" w:name="OLE_LINK3"/>
      <w:bookmarkStart w:id="2" w:name="OLE_LINK5"/>
      <w:r>
        <w:rPr>
          <w:rFonts w:hint="eastAsia" w:ascii="仿宋_GB2312" w:eastAsia="仿宋_GB2312"/>
          <w:sz w:val="28"/>
        </w:rPr>
        <w:t>重视知识产权许可转让、质押融资或产学研用协同创新。</w:t>
      </w:r>
    </w:p>
    <w:p w14:paraId="16135D63">
      <w:pPr>
        <w:adjustRightInd w:val="0"/>
        <w:snapToGrid w:val="0"/>
        <w:spacing w:line="360" w:lineRule="auto"/>
        <w:ind w:firstLine="537" w:firstLineChars="192"/>
        <w:rPr>
          <w:rFonts w:ascii="仿宋_GB2312" w:eastAsia="仿宋_GB2312"/>
          <w:sz w:val="28"/>
        </w:rPr>
      </w:pPr>
      <w:r>
        <w:rPr>
          <w:rFonts w:hint="eastAsia" w:ascii="仿宋_GB2312" w:eastAsia="仿宋_GB2312"/>
          <w:sz w:val="28"/>
        </w:rPr>
        <w:t>（四）守法经营，没有经法院判决认定的恶意侵权和滥用知识产权行为。</w:t>
      </w:r>
    </w:p>
    <w:bookmarkEnd w:id="0"/>
    <w:bookmarkEnd w:id="1"/>
    <w:bookmarkEnd w:id="2"/>
    <w:p w14:paraId="7AA01785">
      <w:pPr>
        <w:adjustRightInd w:val="0"/>
        <w:snapToGrid w:val="0"/>
        <w:spacing w:line="360" w:lineRule="auto"/>
        <w:ind w:firstLine="560" w:firstLineChars="200"/>
        <w:rPr>
          <w:rFonts w:ascii="仿宋_GB2312" w:eastAsia="仿宋_GB2312"/>
          <w:b/>
          <w:sz w:val="28"/>
        </w:rPr>
      </w:pPr>
      <w:r>
        <w:rPr>
          <w:rFonts w:hint="eastAsia" w:ascii="黑体" w:eastAsia="黑体"/>
          <w:sz w:val="28"/>
        </w:rPr>
        <w:t>第七条</w:t>
      </w:r>
      <w:r>
        <w:rPr>
          <w:rFonts w:hint="eastAsia" w:ascii="仿宋_GB2312" w:eastAsia="仿宋_GB2312"/>
          <w:sz w:val="28"/>
        </w:rPr>
        <w:t xml:space="preserve">  认定标准</w:t>
      </w:r>
    </w:p>
    <w:p w14:paraId="66589CB7">
      <w:pPr>
        <w:adjustRightInd w:val="0"/>
        <w:snapToGrid w:val="0"/>
        <w:spacing w:line="360" w:lineRule="auto"/>
        <w:ind w:firstLine="537" w:firstLineChars="192"/>
        <w:rPr>
          <w:rFonts w:ascii="仿宋_GB2312" w:eastAsia="仿宋_GB2312"/>
          <w:color w:val="FF0000"/>
          <w:sz w:val="28"/>
        </w:rPr>
      </w:pPr>
      <w:r>
        <w:rPr>
          <w:rFonts w:hint="eastAsia" w:ascii="仿宋_GB2312" w:eastAsia="仿宋_GB2312"/>
          <w:sz w:val="28"/>
        </w:rPr>
        <w:t>《中国石油和化工行业企业知识产权评价指标体系》评分达</w:t>
      </w:r>
      <w:r>
        <w:rPr>
          <w:rFonts w:ascii="仿宋_GB2312" w:eastAsia="仿宋_GB2312"/>
          <w:sz w:val="28"/>
        </w:rPr>
        <w:t>80</w:t>
      </w:r>
      <w:r>
        <w:rPr>
          <w:rFonts w:hint="eastAsia" w:ascii="仿宋_GB2312" w:eastAsia="仿宋_GB2312"/>
          <w:sz w:val="28"/>
        </w:rPr>
        <w:t>分以上的企业。</w:t>
      </w:r>
    </w:p>
    <w:p w14:paraId="7D4423AE">
      <w:pPr>
        <w:adjustRightInd w:val="0"/>
        <w:snapToGrid w:val="0"/>
        <w:spacing w:line="360" w:lineRule="auto"/>
        <w:jc w:val="center"/>
        <w:rPr>
          <w:rFonts w:ascii="黑体" w:eastAsia="黑体"/>
          <w:bCs/>
          <w:sz w:val="28"/>
        </w:rPr>
      </w:pPr>
      <w:r>
        <w:rPr>
          <w:rFonts w:hint="eastAsia" w:ascii="黑体" w:eastAsia="黑体"/>
          <w:bCs/>
          <w:sz w:val="28"/>
        </w:rPr>
        <w:t>第三章  工作程序</w:t>
      </w:r>
    </w:p>
    <w:p w14:paraId="00182DB9">
      <w:pPr>
        <w:adjustRightInd w:val="0"/>
        <w:snapToGrid w:val="0"/>
        <w:spacing w:line="360" w:lineRule="auto"/>
        <w:ind w:firstLine="537" w:firstLineChars="192"/>
        <w:rPr>
          <w:rFonts w:ascii="仿宋_GB2312" w:eastAsia="仿宋_GB2312"/>
          <w:sz w:val="28"/>
        </w:rPr>
      </w:pPr>
      <w:r>
        <w:rPr>
          <w:rFonts w:hint="eastAsia" w:ascii="黑体" w:eastAsia="黑体"/>
          <w:sz w:val="28"/>
        </w:rPr>
        <w:t>第八条</w:t>
      </w:r>
      <w:r>
        <w:rPr>
          <w:rFonts w:hint="eastAsia" w:ascii="仿宋_GB2312" w:eastAsia="仿宋_GB2312"/>
          <w:sz w:val="28"/>
        </w:rPr>
        <w:t xml:space="preserve">  认定组织机构</w:t>
      </w:r>
    </w:p>
    <w:p w14:paraId="6D860487">
      <w:pPr>
        <w:adjustRightInd w:val="0"/>
        <w:snapToGrid w:val="0"/>
        <w:spacing w:line="360" w:lineRule="auto"/>
        <w:ind w:firstLine="522" w:firstLineChars="192"/>
        <w:rPr>
          <w:rFonts w:ascii="仿宋_GB2312" w:eastAsia="仿宋_GB2312"/>
          <w:spacing w:val="-10"/>
          <w:sz w:val="28"/>
        </w:rPr>
      </w:pPr>
      <w:r>
        <w:rPr>
          <w:rFonts w:hint="eastAsia" w:ascii="仿宋_GB2312" w:eastAsia="仿宋_GB2312"/>
          <w:spacing w:val="-4"/>
          <w:sz w:val="28"/>
        </w:rPr>
        <w:t>（一）设立</w:t>
      </w:r>
      <w:r>
        <w:rPr>
          <w:rFonts w:hint="eastAsia" w:ascii="仿宋_GB2312" w:eastAsia="仿宋_GB2312"/>
          <w:sz w:val="28"/>
        </w:rPr>
        <w:t>认定办公室。认定办公室设在联合会科技与装备部，主任由联合会科技与装备部主管领导兼任。具体负责认定办法的制定，认定专家的推荐，认定活动的组织等</w:t>
      </w:r>
      <w:r>
        <w:rPr>
          <w:rFonts w:hint="eastAsia" w:ascii="仿宋_GB2312" w:eastAsia="仿宋_GB2312"/>
          <w:spacing w:val="-10"/>
          <w:sz w:val="28"/>
        </w:rPr>
        <w:t>。</w:t>
      </w:r>
    </w:p>
    <w:p w14:paraId="03B1B497">
      <w:pPr>
        <w:adjustRightInd w:val="0"/>
        <w:snapToGrid w:val="0"/>
        <w:spacing w:line="360" w:lineRule="auto"/>
        <w:ind w:firstLine="537" w:firstLineChars="192"/>
        <w:rPr>
          <w:rFonts w:ascii="仿宋_GB2312" w:eastAsia="仿宋_GB2312"/>
          <w:sz w:val="28"/>
        </w:rPr>
      </w:pPr>
      <w:r>
        <w:rPr>
          <w:rFonts w:hint="eastAsia" w:ascii="仿宋_GB2312" w:eastAsia="仿宋_GB2312"/>
          <w:sz w:val="28"/>
        </w:rPr>
        <w:t>（二）成立认定专家组。成员由认定办公室推荐，经联合会主管会领导批准、聘任。</w:t>
      </w:r>
    </w:p>
    <w:p w14:paraId="30C2CE37">
      <w:pPr>
        <w:adjustRightInd w:val="0"/>
        <w:snapToGrid w:val="0"/>
        <w:spacing w:line="360" w:lineRule="auto"/>
        <w:ind w:firstLine="560" w:firstLineChars="200"/>
        <w:rPr>
          <w:rFonts w:ascii="仿宋_GB2312" w:eastAsia="仿宋_GB2312"/>
          <w:sz w:val="28"/>
        </w:rPr>
      </w:pPr>
      <w:r>
        <w:rPr>
          <w:rFonts w:hint="eastAsia" w:ascii="黑体" w:eastAsia="黑体"/>
          <w:sz w:val="28"/>
        </w:rPr>
        <w:t>第九条</w:t>
      </w:r>
      <w:r>
        <w:rPr>
          <w:rFonts w:hint="eastAsia" w:ascii="仿宋_GB2312" w:eastAsia="仿宋_GB2312"/>
          <w:sz w:val="28"/>
        </w:rPr>
        <w:t xml:space="preserve">  认定申请</w:t>
      </w:r>
    </w:p>
    <w:p w14:paraId="25EA3E13">
      <w:pPr>
        <w:adjustRightInd w:val="0"/>
        <w:snapToGrid w:val="0"/>
        <w:spacing w:line="360" w:lineRule="auto"/>
        <w:ind w:firstLine="560" w:firstLineChars="200"/>
        <w:rPr>
          <w:rFonts w:ascii="仿宋_GB2312" w:eastAsia="仿宋_GB2312"/>
          <w:sz w:val="28"/>
        </w:rPr>
      </w:pPr>
      <w:r>
        <w:rPr>
          <w:rFonts w:hint="eastAsia" w:ascii="仿宋_GB2312" w:eastAsia="仿宋_GB2312"/>
          <w:sz w:val="28"/>
        </w:rPr>
        <w:t>（一）符合申报条件的企业可直接向认定办公室申报。</w:t>
      </w:r>
    </w:p>
    <w:p w14:paraId="048639EA">
      <w:pPr>
        <w:adjustRightInd w:val="0"/>
        <w:snapToGrid w:val="0"/>
        <w:spacing w:line="360" w:lineRule="auto"/>
        <w:ind w:firstLine="560" w:firstLineChars="200"/>
        <w:rPr>
          <w:rFonts w:ascii="仿宋_GB2312" w:eastAsia="仿宋_GB2312"/>
          <w:sz w:val="28"/>
        </w:rPr>
      </w:pPr>
      <w:r>
        <w:rPr>
          <w:rFonts w:hint="eastAsia" w:ascii="仿宋_GB2312" w:eastAsia="仿宋_GB2312"/>
          <w:sz w:val="28"/>
        </w:rPr>
        <w:t>（二）申报材料包括：《中国石油和化工行业知识产权示范企业申报书》（该申报书可从中国石油和化学工业联合会网站下载），申报材料要求一式五份以及申报书的电子版。</w:t>
      </w:r>
    </w:p>
    <w:p w14:paraId="240C7E31">
      <w:pPr>
        <w:adjustRightInd w:val="0"/>
        <w:snapToGrid w:val="0"/>
        <w:spacing w:line="360" w:lineRule="auto"/>
        <w:ind w:firstLine="560" w:firstLineChars="200"/>
        <w:rPr>
          <w:rFonts w:ascii="仿宋_GB2312" w:eastAsia="仿宋_GB2312"/>
          <w:sz w:val="28"/>
        </w:rPr>
      </w:pPr>
      <w:r>
        <w:rPr>
          <w:rFonts w:hint="eastAsia" w:ascii="黑体" w:eastAsia="黑体"/>
          <w:sz w:val="28"/>
        </w:rPr>
        <w:t>第十条</w:t>
      </w:r>
      <w:r>
        <w:rPr>
          <w:rFonts w:hint="eastAsia" w:ascii="仿宋_GB2312" w:eastAsia="仿宋_GB2312"/>
          <w:sz w:val="28"/>
        </w:rPr>
        <w:t xml:space="preserve">  认定程序</w:t>
      </w:r>
    </w:p>
    <w:p w14:paraId="4A7B6428">
      <w:pPr>
        <w:pStyle w:val="7"/>
        <w:adjustRightInd w:val="0"/>
        <w:snapToGrid w:val="0"/>
        <w:spacing w:line="360" w:lineRule="auto"/>
        <w:rPr>
          <w:rFonts w:ascii="Times New Roman"/>
          <w:snapToGrid/>
        </w:rPr>
      </w:pPr>
      <w:r>
        <w:rPr>
          <w:rFonts w:hint="eastAsia" w:ascii="Times New Roman"/>
          <w:snapToGrid/>
        </w:rPr>
        <w:t>（一）形式审查。认定办公室对各企业申报材料进行形式审查，确定符合认定的企业名单。</w:t>
      </w:r>
    </w:p>
    <w:p w14:paraId="31C5A259">
      <w:pPr>
        <w:adjustRightInd w:val="0"/>
        <w:snapToGrid w:val="0"/>
        <w:spacing w:line="360" w:lineRule="auto"/>
        <w:ind w:firstLine="537" w:firstLineChars="192"/>
        <w:rPr>
          <w:rFonts w:ascii="仿宋_GB2312" w:eastAsia="仿宋_GB2312"/>
          <w:sz w:val="28"/>
        </w:rPr>
      </w:pPr>
      <w:r>
        <w:rPr>
          <w:rFonts w:hint="eastAsia" w:ascii="仿宋_GB2312" w:eastAsia="仿宋_GB2312"/>
          <w:sz w:val="28"/>
        </w:rPr>
        <w:t>（二）会议认定。由认定专家组根据企业技术创新工作情况进行审议，确定认定企业建议名单。</w:t>
      </w:r>
    </w:p>
    <w:p w14:paraId="568A6874">
      <w:pPr>
        <w:adjustRightInd w:val="0"/>
        <w:snapToGrid w:val="0"/>
        <w:spacing w:line="360" w:lineRule="auto"/>
        <w:ind w:firstLine="537" w:firstLineChars="192"/>
        <w:rPr>
          <w:rFonts w:ascii="仿宋_GB2312" w:eastAsia="仿宋_GB2312"/>
          <w:sz w:val="28"/>
        </w:rPr>
      </w:pPr>
      <w:r>
        <w:rPr>
          <w:rFonts w:hint="eastAsia" w:ascii="仿宋_GB2312" w:eastAsia="仿宋_GB2312"/>
          <w:sz w:val="28"/>
        </w:rPr>
        <w:t>（三）公示。认定办公室将认定企业名单在媒体上公示。</w:t>
      </w:r>
    </w:p>
    <w:p w14:paraId="573AAA9F">
      <w:pPr>
        <w:adjustRightInd w:val="0"/>
        <w:snapToGrid w:val="0"/>
        <w:spacing w:line="360" w:lineRule="auto"/>
        <w:ind w:firstLine="537" w:firstLineChars="192"/>
        <w:rPr>
          <w:rFonts w:ascii="仿宋_GB2312" w:eastAsia="仿宋_GB2312"/>
          <w:sz w:val="28"/>
        </w:rPr>
      </w:pPr>
      <w:r>
        <w:rPr>
          <w:rFonts w:hint="eastAsia" w:ascii="仿宋_GB2312" w:eastAsia="仿宋_GB2312"/>
          <w:sz w:val="28"/>
        </w:rPr>
        <w:t>（四）批准。认定办公室将公示结果报联合会主管会领导审查，经联合会主管会领导批准，最终确定认定企业名单。</w:t>
      </w:r>
    </w:p>
    <w:p w14:paraId="26283852">
      <w:pPr>
        <w:adjustRightInd w:val="0"/>
        <w:snapToGrid w:val="0"/>
        <w:spacing w:line="360" w:lineRule="auto"/>
        <w:jc w:val="center"/>
        <w:rPr>
          <w:rFonts w:ascii="黑体" w:eastAsia="黑体"/>
          <w:bCs/>
          <w:sz w:val="28"/>
        </w:rPr>
      </w:pPr>
      <w:r>
        <w:rPr>
          <w:rFonts w:hint="eastAsia" w:ascii="黑体" w:eastAsia="黑体"/>
          <w:bCs/>
          <w:sz w:val="28"/>
        </w:rPr>
        <w:t>第四章  示范企业管理</w:t>
      </w:r>
    </w:p>
    <w:p w14:paraId="112A49E2">
      <w:pPr>
        <w:pStyle w:val="11"/>
        <w:adjustRightInd w:val="0"/>
        <w:snapToGrid w:val="0"/>
        <w:spacing w:line="360" w:lineRule="auto"/>
        <w:rPr>
          <w:rFonts w:ascii="仿宋_GB2312" w:eastAsia="仿宋_GB2312"/>
          <w:kern w:val="32"/>
        </w:rPr>
      </w:pPr>
      <w:r>
        <w:rPr>
          <w:rFonts w:hint="eastAsia" w:ascii="黑体" w:eastAsia="黑体"/>
          <w:kern w:val="32"/>
        </w:rPr>
        <w:t xml:space="preserve">第十一条  </w:t>
      </w:r>
      <w:r>
        <w:rPr>
          <w:rFonts w:hint="eastAsia" w:ascii="仿宋_GB2312" w:eastAsia="仿宋_GB2312"/>
          <w:kern w:val="32"/>
        </w:rPr>
        <w:t>示范企业名录及发展情况将在国家石油化工网上公布。</w:t>
      </w:r>
    </w:p>
    <w:p w14:paraId="1B7A8853">
      <w:pPr>
        <w:pStyle w:val="11"/>
        <w:adjustRightInd w:val="0"/>
        <w:snapToGrid w:val="0"/>
        <w:spacing w:line="360" w:lineRule="auto"/>
        <w:rPr>
          <w:rFonts w:ascii="仿宋_GB2312" w:eastAsia="仿宋_GB2312"/>
          <w:kern w:val="32"/>
        </w:rPr>
      </w:pPr>
      <w:r>
        <w:rPr>
          <w:rFonts w:hint="eastAsia" w:ascii="黑体" w:eastAsia="黑体"/>
          <w:kern w:val="32"/>
        </w:rPr>
        <w:t>第十二条</w:t>
      </w:r>
      <w:r>
        <w:rPr>
          <w:rFonts w:hint="eastAsia" w:ascii="仿宋_GB2312" w:eastAsia="仿宋_GB2312"/>
          <w:kern w:val="32"/>
        </w:rPr>
        <w:t xml:space="preserve">  联合会对示范企业实行动态管理，依据本办法每三年进行一次复审，对合格的示范企业予以确认，对不合格的示范企业撤销其称号。</w:t>
      </w:r>
    </w:p>
    <w:p w14:paraId="55B95656">
      <w:pPr>
        <w:pStyle w:val="11"/>
        <w:adjustRightInd w:val="0"/>
        <w:snapToGrid w:val="0"/>
        <w:spacing w:line="360" w:lineRule="auto"/>
        <w:rPr>
          <w:rFonts w:ascii="仿宋_GB2312" w:eastAsia="仿宋_GB2312"/>
          <w:kern w:val="32"/>
        </w:rPr>
      </w:pPr>
      <w:r>
        <w:rPr>
          <w:rFonts w:hint="eastAsia" w:ascii="黑体" w:eastAsia="黑体"/>
          <w:kern w:val="32"/>
        </w:rPr>
        <w:t>第十三条</w:t>
      </w:r>
      <w:r>
        <w:rPr>
          <w:rFonts w:hint="eastAsia" w:ascii="仿宋_GB2312" w:eastAsia="仿宋_GB2312"/>
          <w:kern w:val="32"/>
        </w:rPr>
        <w:t xml:space="preserve">  对获得认定的企业，在近3年有以下情况之一的，由认定办公室提出撤销认定的意见，经联合会主管会领导批准，撤销认定并追回证书和证牌，同时在媒体上公布，并且2年内不得再次申报：</w:t>
      </w:r>
    </w:p>
    <w:p w14:paraId="252CBECF">
      <w:pPr>
        <w:adjustRightInd w:val="0"/>
        <w:snapToGrid w:val="0"/>
        <w:spacing w:line="360" w:lineRule="auto"/>
        <w:ind w:firstLine="560" w:firstLineChars="200"/>
        <w:rPr>
          <w:rFonts w:ascii="仿宋_GB2312" w:eastAsia="仿宋_GB2312"/>
          <w:kern w:val="28"/>
          <w:sz w:val="28"/>
        </w:rPr>
      </w:pPr>
      <w:r>
        <w:rPr>
          <w:rFonts w:hint="eastAsia" w:ascii="仿宋_GB2312" w:eastAsia="仿宋_GB2312"/>
          <w:kern w:val="28"/>
          <w:sz w:val="28"/>
        </w:rPr>
        <w:t>1.在知识产权、质量安全、节能环保等方面受到行政处罚的；</w:t>
      </w:r>
    </w:p>
    <w:p w14:paraId="201EF294">
      <w:pPr>
        <w:adjustRightInd w:val="0"/>
        <w:snapToGrid w:val="0"/>
        <w:spacing w:line="360" w:lineRule="auto"/>
        <w:ind w:firstLine="560" w:firstLineChars="200"/>
        <w:rPr>
          <w:rFonts w:ascii="仿宋_GB2312" w:eastAsia="仿宋_GB2312"/>
          <w:kern w:val="28"/>
          <w:sz w:val="28"/>
        </w:rPr>
      </w:pPr>
      <w:r>
        <w:rPr>
          <w:rFonts w:hint="eastAsia" w:ascii="仿宋_GB2312" w:eastAsia="仿宋_GB2312"/>
          <w:kern w:val="28"/>
          <w:sz w:val="28"/>
        </w:rPr>
        <w:t>2.存在恶意侵犯知识产权行为的；</w:t>
      </w:r>
    </w:p>
    <w:p w14:paraId="02897C96">
      <w:pPr>
        <w:adjustRightInd w:val="0"/>
        <w:snapToGrid w:val="0"/>
        <w:spacing w:line="360" w:lineRule="auto"/>
        <w:ind w:firstLine="560" w:firstLineChars="200"/>
        <w:rPr>
          <w:rFonts w:ascii="仿宋_GB2312" w:eastAsia="仿宋_GB2312"/>
          <w:kern w:val="28"/>
          <w:sz w:val="28"/>
        </w:rPr>
      </w:pPr>
      <w:r>
        <w:rPr>
          <w:rFonts w:hint="eastAsia" w:ascii="仿宋_GB2312" w:eastAsia="仿宋_GB2312"/>
          <w:kern w:val="28"/>
          <w:sz w:val="28"/>
        </w:rPr>
        <w:t>3.骗取专利申请资助奖励费用的；</w:t>
      </w:r>
    </w:p>
    <w:p w14:paraId="69DF8017">
      <w:pPr>
        <w:adjustRightInd w:val="0"/>
        <w:snapToGrid w:val="0"/>
        <w:spacing w:line="360" w:lineRule="auto"/>
        <w:ind w:firstLine="560" w:firstLineChars="200"/>
        <w:rPr>
          <w:rFonts w:ascii="仿宋_GB2312" w:eastAsia="仿宋_GB2312"/>
          <w:kern w:val="28"/>
          <w:sz w:val="28"/>
        </w:rPr>
      </w:pPr>
      <w:r>
        <w:rPr>
          <w:rFonts w:hint="eastAsia" w:ascii="仿宋_GB2312" w:eastAsia="仿宋_GB2312"/>
          <w:kern w:val="28"/>
          <w:sz w:val="28"/>
        </w:rPr>
        <w:t>4.伪造证明材料、虚报数据的。</w:t>
      </w:r>
    </w:p>
    <w:p w14:paraId="7998DE09">
      <w:pPr>
        <w:adjustRightInd w:val="0"/>
        <w:snapToGrid w:val="0"/>
        <w:spacing w:line="360" w:lineRule="auto"/>
        <w:jc w:val="center"/>
        <w:rPr>
          <w:rFonts w:ascii="黑体" w:eastAsia="黑体"/>
          <w:bCs/>
          <w:sz w:val="28"/>
        </w:rPr>
      </w:pPr>
      <w:r>
        <w:rPr>
          <w:rFonts w:hint="eastAsia" w:ascii="黑体" w:eastAsia="黑体"/>
          <w:bCs/>
          <w:sz w:val="28"/>
        </w:rPr>
        <w:t>第五章  权利和义务</w:t>
      </w:r>
    </w:p>
    <w:p w14:paraId="42C1457C">
      <w:pPr>
        <w:adjustRightInd w:val="0"/>
        <w:snapToGrid w:val="0"/>
        <w:spacing w:line="360" w:lineRule="auto"/>
        <w:ind w:firstLine="537" w:firstLineChars="192"/>
        <w:rPr>
          <w:rFonts w:ascii="仿宋_GB2312" w:eastAsia="仿宋_GB2312"/>
          <w:kern w:val="28"/>
          <w:sz w:val="28"/>
        </w:rPr>
      </w:pPr>
      <w:r>
        <w:rPr>
          <w:rFonts w:hint="eastAsia" w:ascii="黑体" w:eastAsia="黑体"/>
          <w:sz w:val="28"/>
        </w:rPr>
        <w:t xml:space="preserve">第十四条  </w:t>
      </w:r>
      <w:r>
        <w:rPr>
          <w:rFonts w:hint="eastAsia" w:ascii="仿宋_GB2312" w:eastAsia="仿宋_GB2312"/>
          <w:kern w:val="28"/>
          <w:sz w:val="28"/>
        </w:rPr>
        <w:t>享有的权利：</w:t>
      </w:r>
    </w:p>
    <w:p w14:paraId="725A0B19">
      <w:pPr>
        <w:adjustRightInd w:val="0"/>
        <w:snapToGrid w:val="0"/>
        <w:spacing w:line="360" w:lineRule="auto"/>
        <w:ind w:firstLine="560" w:firstLineChars="200"/>
        <w:rPr>
          <w:rFonts w:ascii="仿宋_GB2312" w:eastAsia="仿宋_GB2312"/>
          <w:kern w:val="28"/>
          <w:sz w:val="28"/>
        </w:rPr>
      </w:pPr>
      <w:r>
        <w:rPr>
          <w:rFonts w:hint="eastAsia" w:ascii="仿宋_GB2312" w:eastAsia="仿宋_GB2312"/>
          <w:kern w:val="28"/>
          <w:sz w:val="28"/>
        </w:rPr>
        <w:t>（一）享有示范企业荣誉称号。</w:t>
      </w:r>
    </w:p>
    <w:p w14:paraId="6CAE4FBA">
      <w:pPr>
        <w:adjustRightInd w:val="0"/>
        <w:snapToGrid w:val="0"/>
        <w:spacing w:line="360" w:lineRule="auto"/>
        <w:ind w:firstLine="560" w:firstLineChars="200"/>
        <w:rPr>
          <w:rFonts w:ascii="仿宋_GB2312" w:eastAsia="仿宋_GB2312"/>
          <w:kern w:val="28"/>
          <w:sz w:val="28"/>
        </w:rPr>
      </w:pPr>
      <w:r>
        <w:rPr>
          <w:rFonts w:hint="eastAsia" w:ascii="仿宋_GB2312" w:eastAsia="仿宋_GB2312"/>
          <w:kern w:val="28"/>
          <w:sz w:val="28"/>
        </w:rPr>
        <w:t>（二）优先获取联合会提供的相关政策、信息、成果鉴定、技术推广、奖励申报等服务。</w:t>
      </w:r>
    </w:p>
    <w:p w14:paraId="17BB95C8">
      <w:pPr>
        <w:adjustRightInd w:val="0"/>
        <w:snapToGrid w:val="0"/>
        <w:spacing w:line="360" w:lineRule="auto"/>
        <w:ind w:firstLine="560" w:firstLineChars="200"/>
        <w:rPr>
          <w:rFonts w:ascii="仿宋_GB2312" w:eastAsia="仿宋_GB2312"/>
          <w:sz w:val="28"/>
        </w:rPr>
      </w:pPr>
      <w:r>
        <w:rPr>
          <w:rFonts w:hint="eastAsia" w:ascii="仿宋_GB2312" w:eastAsia="仿宋_GB2312"/>
          <w:kern w:val="28"/>
          <w:sz w:val="28"/>
        </w:rPr>
        <w:t>（三）</w:t>
      </w:r>
      <w:r>
        <w:rPr>
          <w:rFonts w:hint="eastAsia" w:ascii="仿宋_GB2312" w:eastAsia="仿宋_GB2312"/>
          <w:sz w:val="28"/>
        </w:rPr>
        <w:t>优先推荐参加国家部委组织的相关评选活动。</w:t>
      </w:r>
    </w:p>
    <w:p w14:paraId="375CB4CA">
      <w:pPr>
        <w:adjustRightInd w:val="0"/>
        <w:snapToGrid w:val="0"/>
        <w:spacing w:line="360" w:lineRule="auto"/>
        <w:ind w:firstLine="560" w:firstLineChars="200"/>
        <w:rPr>
          <w:rFonts w:ascii="仿宋_GB2312" w:eastAsia="仿宋_GB2312"/>
          <w:sz w:val="28"/>
        </w:rPr>
      </w:pPr>
      <w:r>
        <w:rPr>
          <w:rFonts w:hint="eastAsia" w:ascii="仿宋_GB2312" w:eastAsia="仿宋_GB2312"/>
          <w:sz w:val="28"/>
        </w:rPr>
        <w:t>（四）在行业知识产权服务工作开展中，优先得到培育。</w:t>
      </w:r>
    </w:p>
    <w:p w14:paraId="06D691C9">
      <w:pPr>
        <w:adjustRightInd w:val="0"/>
        <w:snapToGrid w:val="0"/>
        <w:spacing w:line="360" w:lineRule="auto"/>
        <w:ind w:firstLine="560" w:firstLineChars="200"/>
        <w:rPr>
          <w:rFonts w:ascii="仿宋_GB2312" w:eastAsia="仿宋_GB2312"/>
          <w:kern w:val="28"/>
          <w:sz w:val="28"/>
        </w:rPr>
      </w:pPr>
      <w:r>
        <w:rPr>
          <w:rFonts w:hint="eastAsia" w:ascii="黑体" w:eastAsia="黑体"/>
          <w:sz w:val="28"/>
        </w:rPr>
        <w:t>第十五条</w:t>
      </w:r>
      <w:r>
        <w:rPr>
          <w:rFonts w:hint="eastAsia" w:ascii="仿宋_GB2312" w:eastAsia="仿宋_GB2312"/>
          <w:kern w:val="28"/>
          <w:sz w:val="28"/>
        </w:rPr>
        <w:t xml:space="preserve">  承担的义务：</w:t>
      </w:r>
    </w:p>
    <w:p w14:paraId="349F2989">
      <w:pPr>
        <w:adjustRightInd w:val="0"/>
        <w:snapToGrid w:val="0"/>
        <w:spacing w:line="360" w:lineRule="auto"/>
        <w:ind w:firstLine="560" w:firstLineChars="200"/>
        <w:rPr>
          <w:rFonts w:ascii="仿宋_GB2312" w:eastAsia="仿宋_GB2312"/>
          <w:kern w:val="28"/>
          <w:sz w:val="28"/>
        </w:rPr>
      </w:pPr>
      <w:r>
        <w:rPr>
          <w:rFonts w:hint="eastAsia" w:ascii="仿宋_GB2312" w:eastAsia="仿宋_GB2312"/>
          <w:kern w:val="28"/>
          <w:sz w:val="28"/>
        </w:rPr>
        <w:t>（一）参加联合会组织的相关示范企业专题活动。</w:t>
      </w:r>
    </w:p>
    <w:p w14:paraId="1E1D32BD">
      <w:pPr>
        <w:pStyle w:val="7"/>
        <w:adjustRightInd w:val="0"/>
        <w:snapToGrid w:val="0"/>
        <w:spacing w:line="360" w:lineRule="auto"/>
        <w:rPr>
          <w:snapToGrid/>
          <w:kern w:val="28"/>
        </w:rPr>
      </w:pPr>
      <w:r>
        <w:rPr>
          <w:rFonts w:hint="eastAsia"/>
          <w:snapToGrid/>
          <w:kern w:val="28"/>
        </w:rPr>
        <w:t>（二）在有效期内接受认定办公室的不定期工作检查，以确保企业知识产权工作成效，并持续改进。</w:t>
      </w:r>
    </w:p>
    <w:p w14:paraId="11A1270D">
      <w:pPr>
        <w:pStyle w:val="5"/>
        <w:adjustRightInd w:val="0"/>
        <w:snapToGrid w:val="0"/>
        <w:spacing w:line="360" w:lineRule="auto"/>
      </w:pPr>
      <w:r>
        <w:rPr>
          <w:rFonts w:hint="eastAsia"/>
        </w:rPr>
        <w:t>（三）企业经营活动发生重大变化，导致不符合认定标准时，应及时向认定办公室提出撤消认定的申请。</w:t>
      </w:r>
    </w:p>
    <w:p w14:paraId="5383FD3E">
      <w:pPr>
        <w:adjustRightInd w:val="0"/>
        <w:snapToGrid w:val="0"/>
        <w:spacing w:line="360" w:lineRule="auto"/>
        <w:ind w:firstLine="537" w:firstLineChars="192"/>
        <w:rPr>
          <w:rFonts w:ascii="仿宋_GB2312" w:eastAsia="仿宋_GB2312"/>
          <w:sz w:val="28"/>
        </w:rPr>
      </w:pPr>
      <w:r>
        <w:rPr>
          <w:rFonts w:hint="eastAsia" w:ascii="仿宋_GB2312" w:eastAsia="仿宋_GB2312"/>
          <w:sz w:val="28"/>
        </w:rPr>
        <w:t>（四）有效期满后，若需要继续认定，必须提出继续认定的申请，并按申报程序再行申报。</w:t>
      </w:r>
    </w:p>
    <w:p w14:paraId="21EF5CCF">
      <w:pPr>
        <w:adjustRightInd w:val="0"/>
        <w:snapToGrid w:val="0"/>
        <w:spacing w:line="360" w:lineRule="auto"/>
        <w:ind w:firstLine="548" w:firstLineChars="196"/>
        <w:rPr>
          <w:rFonts w:ascii="仿宋_GB2312" w:eastAsia="仿宋_GB2312"/>
          <w:kern w:val="28"/>
          <w:sz w:val="28"/>
        </w:rPr>
      </w:pPr>
      <w:r>
        <w:rPr>
          <w:rFonts w:hint="eastAsia" w:ascii="黑体" w:eastAsia="黑体"/>
          <w:sz w:val="28"/>
        </w:rPr>
        <w:t xml:space="preserve">第十六条  </w:t>
      </w:r>
      <w:r>
        <w:rPr>
          <w:rFonts w:hint="eastAsia" w:ascii="仿宋_GB2312" w:eastAsia="仿宋_GB2312"/>
          <w:kern w:val="28"/>
          <w:sz w:val="28"/>
        </w:rPr>
        <w:t>本办法由认定办公室负责解释。</w:t>
      </w:r>
    </w:p>
    <w:p w14:paraId="1BDA8B9B">
      <w:pPr>
        <w:adjustRightInd w:val="0"/>
        <w:snapToGrid w:val="0"/>
        <w:spacing w:line="360" w:lineRule="auto"/>
        <w:ind w:firstLine="560" w:firstLineChars="200"/>
        <w:rPr>
          <w:rFonts w:ascii="仿宋_GB2312" w:eastAsia="仿宋_GB2312"/>
          <w:b/>
          <w:bCs/>
          <w:kern w:val="28"/>
          <w:sz w:val="28"/>
        </w:rPr>
      </w:pPr>
      <w:r>
        <w:rPr>
          <w:rFonts w:hint="eastAsia" w:ascii="黑体" w:eastAsia="黑体"/>
          <w:sz w:val="28"/>
        </w:rPr>
        <w:t xml:space="preserve">第十七条  </w:t>
      </w:r>
      <w:r>
        <w:rPr>
          <w:rFonts w:hint="eastAsia" w:ascii="仿宋_GB2312" w:eastAsia="仿宋_GB2312"/>
          <w:kern w:val="28"/>
          <w:sz w:val="28"/>
        </w:rPr>
        <w:t>本办法自公布之日起执行。</w:t>
      </w:r>
    </w:p>
    <w:p w14:paraId="4FCF3B72">
      <w:pPr>
        <w:adjustRightInd w:val="0"/>
        <w:snapToGrid w:val="0"/>
        <w:spacing w:line="360" w:lineRule="auto"/>
        <w:jc w:val="left"/>
        <w:rPr>
          <w:rFonts w:ascii="仿宋_GB2312" w:eastAsia="仿宋_GB2312"/>
          <w:sz w:val="30"/>
          <w:szCs w:val="30"/>
        </w:rPr>
      </w:pPr>
    </w:p>
    <w:p w14:paraId="25F4F0F2">
      <w:pPr>
        <w:adjustRightInd w:val="0"/>
        <w:snapToGrid w:val="0"/>
        <w:spacing w:line="360" w:lineRule="auto"/>
        <w:jc w:val="left"/>
        <w:rPr>
          <w:rFonts w:ascii="仿宋_GB2312" w:eastAsia="仿宋_GB2312"/>
          <w:sz w:val="30"/>
          <w:szCs w:val="30"/>
        </w:rPr>
      </w:pPr>
    </w:p>
    <w:p w14:paraId="7B2E945F">
      <w:pPr>
        <w:adjustRightInd w:val="0"/>
        <w:snapToGrid w:val="0"/>
        <w:spacing w:line="360" w:lineRule="auto"/>
        <w:jc w:val="left"/>
        <w:rPr>
          <w:rFonts w:ascii="仿宋_GB2312" w:eastAsia="仿宋_GB2312"/>
          <w:sz w:val="30"/>
          <w:szCs w:val="30"/>
        </w:rPr>
      </w:pPr>
    </w:p>
    <w:p w14:paraId="547BB97E">
      <w:pPr>
        <w:adjustRightInd w:val="0"/>
        <w:snapToGrid w:val="0"/>
        <w:spacing w:line="360" w:lineRule="auto"/>
        <w:jc w:val="left"/>
        <w:rPr>
          <w:rFonts w:ascii="仿宋_GB2312" w:eastAsia="仿宋_GB2312"/>
          <w:sz w:val="30"/>
          <w:szCs w:val="30"/>
        </w:rPr>
      </w:pPr>
    </w:p>
    <w:p w14:paraId="33B8E6BF">
      <w:pPr>
        <w:adjustRightInd w:val="0"/>
        <w:snapToGrid w:val="0"/>
        <w:spacing w:line="360" w:lineRule="auto"/>
        <w:jc w:val="left"/>
        <w:rPr>
          <w:rFonts w:ascii="仿宋_GB2312" w:eastAsia="仿宋_GB2312"/>
          <w:sz w:val="30"/>
          <w:szCs w:val="30"/>
        </w:rPr>
      </w:pPr>
    </w:p>
    <w:sectPr>
      <w:footerReference r:id="rId3" w:type="default"/>
      <w:pgSz w:w="11906" w:h="16838"/>
      <w:pgMar w:top="2041" w:right="1803" w:bottom="1440" w:left="1531" w:header="851" w:footer="992"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164221">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796857BD">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796857BD">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QwZDlhNGI4NWIyZGIwMTA3MmYxZWY2MGEyZTlhYjUifQ=="/>
  </w:docVars>
  <w:rsids>
    <w:rsidRoot w:val="004D0133"/>
    <w:rsid w:val="000002E0"/>
    <w:rsid w:val="0001626D"/>
    <w:rsid w:val="00087753"/>
    <w:rsid w:val="000A3210"/>
    <w:rsid w:val="00107ACF"/>
    <w:rsid w:val="00161824"/>
    <w:rsid w:val="001918D6"/>
    <w:rsid w:val="00193A19"/>
    <w:rsid w:val="001E16A0"/>
    <w:rsid w:val="001E63DD"/>
    <w:rsid w:val="001F52B5"/>
    <w:rsid w:val="001F6D19"/>
    <w:rsid w:val="00235A14"/>
    <w:rsid w:val="00237E55"/>
    <w:rsid w:val="00252A36"/>
    <w:rsid w:val="00262EC1"/>
    <w:rsid w:val="00292FEF"/>
    <w:rsid w:val="002C4F01"/>
    <w:rsid w:val="00312FBC"/>
    <w:rsid w:val="00343B89"/>
    <w:rsid w:val="003832C5"/>
    <w:rsid w:val="0039115B"/>
    <w:rsid w:val="003A1265"/>
    <w:rsid w:val="004441D3"/>
    <w:rsid w:val="00485DDE"/>
    <w:rsid w:val="004D0133"/>
    <w:rsid w:val="00511F6D"/>
    <w:rsid w:val="00534B80"/>
    <w:rsid w:val="00540BC4"/>
    <w:rsid w:val="005772C6"/>
    <w:rsid w:val="00593D05"/>
    <w:rsid w:val="00620360"/>
    <w:rsid w:val="0063560C"/>
    <w:rsid w:val="0066428E"/>
    <w:rsid w:val="006A5693"/>
    <w:rsid w:val="00735789"/>
    <w:rsid w:val="007727A4"/>
    <w:rsid w:val="007A225F"/>
    <w:rsid w:val="007F5D0F"/>
    <w:rsid w:val="00862A4A"/>
    <w:rsid w:val="0087160C"/>
    <w:rsid w:val="00894813"/>
    <w:rsid w:val="008A1F2E"/>
    <w:rsid w:val="008B326F"/>
    <w:rsid w:val="00902603"/>
    <w:rsid w:val="00914BCA"/>
    <w:rsid w:val="00924D5D"/>
    <w:rsid w:val="0097246F"/>
    <w:rsid w:val="009A6621"/>
    <w:rsid w:val="009C742C"/>
    <w:rsid w:val="009D602F"/>
    <w:rsid w:val="00A64719"/>
    <w:rsid w:val="00A945B4"/>
    <w:rsid w:val="00AA2738"/>
    <w:rsid w:val="00AB329A"/>
    <w:rsid w:val="00AC3D59"/>
    <w:rsid w:val="00AC4DC8"/>
    <w:rsid w:val="00AC5EF4"/>
    <w:rsid w:val="00AC75EF"/>
    <w:rsid w:val="00AE6953"/>
    <w:rsid w:val="00AF5B3B"/>
    <w:rsid w:val="00B139D0"/>
    <w:rsid w:val="00B56571"/>
    <w:rsid w:val="00B772B7"/>
    <w:rsid w:val="00BE68EE"/>
    <w:rsid w:val="00C076B6"/>
    <w:rsid w:val="00C355EF"/>
    <w:rsid w:val="00C3623E"/>
    <w:rsid w:val="00CA545C"/>
    <w:rsid w:val="00CC5F87"/>
    <w:rsid w:val="00D3545D"/>
    <w:rsid w:val="00D55F26"/>
    <w:rsid w:val="00D91E19"/>
    <w:rsid w:val="00DA50F2"/>
    <w:rsid w:val="00DD63F2"/>
    <w:rsid w:val="00DE3A62"/>
    <w:rsid w:val="00DE6123"/>
    <w:rsid w:val="00E076D2"/>
    <w:rsid w:val="00E13031"/>
    <w:rsid w:val="00E2542E"/>
    <w:rsid w:val="00EC61D0"/>
    <w:rsid w:val="00ED0928"/>
    <w:rsid w:val="00EE536E"/>
    <w:rsid w:val="00EF15B9"/>
    <w:rsid w:val="00F03236"/>
    <w:rsid w:val="00F17E32"/>
    <w:rsid w:val="00F22F9D"/>
    <w:rsid w:val="00F52CF5"/>
    <w:rsid w:val="00F554CB"/>
    <w:rsid w:val="00F65FD1"/>
    <w:rsid w:val="24F95938"/>
    <w:rsid w:val="25855239"/>
    <w:rsid w:val="26630257"/>
    <w:rsid w:val="27317F81"/>
    <w:rsid w:val="275324AE"/>
    <w:rsid w:val="32D54349"/>
    <w:rsid w:val="36AE738B"/>
    <w:rsid w:val="4D195BE0"/>
    <w:rsid w:val="5907661B"/>
    <w:rsid w:val="6A9C35C2"/>
    <w:rsid w:val="756E32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name="Body Text Indent 2"/>
    <w:lsdException w:qFormat="1" w:unhideWhenUsed="0" w:uiPriority="0"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2"/>
    <w:qFormat/>
    <w:uiPriority w:val="0"/>
    <w:pPr>
      <w:keepNext/>
      <w:keepLines/>
      <w:spacing w:before="340" w:after="330" w:line="576" w:lineRule="auto"/>
      <w:outlineLvl w:val="0"/>
    </w:pPr>
    <w:rPr>
      <w:rFonts w:ascii="Times New Roman" w:hAnsi="Times New Roman" w:eastAsia="黑体" w:cs="Times New Roman"/>
      <w:kern w:val="44"/>
      <w:sz w:val="36"/>
      <w:szCs w:val="20"/>
    </w:rPr>
  </w:style>
  <w:style w:type="paragraph" w:styleId="3">
    <w:name w:val="heading 3"/>
    <w:basedOn w:val="1"/>
    <w:next w:val="1"/>
    <w:link w:val="23"/>
    <w:qFormat/>
    <w:uiPriority w:val="0"/>
    <w:pPr>
      <w:keepNext/>
      <w:keepLines/>
      <w:spacing w:before="260" w:after="260" w:line="413" w:lineRule="auto"/>
      <w:outlineLvl w:val="2"/>
    </w:pPr>
    <w:rPr>
      <w:rFonts w:ascii="Times New Roman" w:hAnsi="Times New Roman" w:eastAsia="宋体" w:cs="Times New Roman"/>
      <w:b/>
      <w:sz w:val="32"/>
      <w:szCs w:val="20"/>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4"/>
    <w:semiHidden/>
    <w:unhideWhenUsed/>
    <w:qFormat/>
    <w:uiPriority w:val="99"/>
    <w:pPr>
      <w:jc w:val="left"/>
    </w:pPr>
  </w:style>
  <w:style w:type="paragraph" w:styleId="5">
    <w:name w:val="Body Text Indent"/>
    <w:basedOn w:val="1"/>
    <w:link w:val="20"/>
    <w:semiHidden/>
    <w:qFormat/>
    <w:uiPriority w:val="0"/>
    <w:pPr>
      <w:spacing w:line="420" w:lineRule="exact"/>
      <w:ind w:firstLine="538" w:firstLineChars="192"/>
    </w:pPr>
    <w:rPr>
      <w:rFonts w:ascii="仿宋_GB2312" w:hAnsi="Times New Roman" w:eastAsia="仿宋_GB2312" w:cs="Times New Roman"/>
      <w:kern w:val="32"/>
      <w:sz w:val="28"/>
      <w:szCs w:val="24"/>
    </w:rPr>
  </w:style>
  <w:style w:type="paragraph" w:styleId="6">
    <w:name w:val="Date"/>
    <w:basedOn w:val="1"/>
    <w:next w:val="1"/>
    <w:link w:val="18"/>
    <w:semiHidden/>
    <w:unhideWhenUsed/>
    <w:qFormat/>
    <w:uiPriority w:val="99"/>
    <w:pPr>
      <w:ind w:left="100" w:leftChars="2500"/>
    </w:pPr>
  </w:style>
  <w:style w:type="paragraph" w:styleId="7">
    <w:name w:val="Body Text Indent 2"/>
    <w:basedOn w:val="1"/>
    <w:link w:val="21"/>
    <w:semiHidden/>
    <w:qFormat/>
    <w:uiPriority w:val="0"/>
    <w:pPr>
      <w:spacing w:line="420" w:lineRule="exact"/>
      <w:ind w:firstLine="560" w:firstLineChars="200"/>
    </w:pPr>
    <w:rPr>
      <w:rFonts w:ascii="仿宋_GB2312" w:hAnsi="Times New Roman" w:eastAsia="仿宋_GB2312" w:cs="Times New Roman"/>
      <w:snapToGrid w:val="0"/>
      <w:kern w:val="0"/>
      <w:sz w:val="28"/>
      <w:szCs w:val="24"/>
    </w:rPr>
  </w:style>
  <w:style w:type="paragraph" w:styleId="8">
    <w:name w:val="Balloon Text"/>
    <w:basedOn w:val="1"/>
    <w:link w:val="27"/>
    <w:semiHidden/>
    <w:unhideWhenUsed/>
    <w:qFormat/>
    <w:uiPriority w:val="99"/>
    <w:rPr>
      <w:sz w:val="18"/>
      <w:szCs w:val="18"/>
    </w:rPr>
  </w:style>
  <w:style w:type="paragraph" w:styleId="9">
    <w:name w:val="footer"/>
    <w:basedOn w:val="1"/>
    <w:link w:val="17"/>
    <w:unhideWhenUsed/>
    <w:qFormat/>
    <w:uiPriority w:val="0"/>
    <w:pPr>
      <w:tabs>
        <w:tab w:val="center" w:pos="4153"/>
        <w:tab w:val="right" w:pos="8306"/>
      </w:tabs>
      <w:snapToGrid w:val="0"/>
      <w:jc w:val="left"/>
    </w:pPr>
    <w:rPr>
      <w:sz w:val="18"/>
      <w:szCs w:val="18"/>
    </w:rPr>
  </w:style>
  <w:style w:type="paragraph" w:styleId="10">
    <w:name w:val="header"/>
    <w:basedOn w:val="1"/>
    <w:link w:val="16"/>
    <w:unhideWhenUsed/>
    <w:qFormat/>
    <w:uiPriority w:val="0"/>
    <w:pPr>
      <w:pBdr>
        <w:bottom w:val="single" w:color="auto" w:sz="6" w:space="1"/>
      </w:pBdr>
      <w:tabs>
        <w:tab w:val="center" w:pos="4153"/>
        <w:tab w:val="right" w:pos="8306"/>
      </w:tabs>
      <w:snapToGrid w:val="0"/>
      <w:jc w:val="center"/>
    </w:pPr>
    <w:rPr>
      <w:sz w:val="18"/>
      <w:szCs w:val="18"/>
    </w:rPr>
  </w:style>
  <w:style w:type="paragraph" w:styleId="11">
    <w:name w:val="Body Text Indent 3"/>
    <w:basedOn w:val="1"/>
    <w:link w:val="19"/>
    <w:semiHidden/>
    <w:qFormat/>
    <w:uiPriority w:val="0"/>
    <w:pPr>
      <w:spacing w:line="360" w:lineRule="exact"/>
      <w:ind w:firstLine="599" w:firstLineChars="214"/>
    </w:pPr>
    <w:rPr>
      <w:rFonts w:ascii="楷体_GB2312" w:hAnsi="Times New Roman" w:eastAsia="楷体_GB2312" w:cs="Times New Roman"/>
      <w:sz w:val="28"/>
      <w:szCs w:val="24"/>
    </w:rPr>
  </w:style>
  <w:style w:type="paragraph" w:styleId="12">
    <w:name w:val="annotation subject"/>
    <w:basedOn w:val="4"/>
    <w:next w:val="4"/>
    <w:link w:val="25"/>
    <w:semiHidden/>
    <w:unhideWhenUsed/>
    <w:qFormat/>
    <w:uiPriority w:val="99"/>
    <w:rPr>
      <w:b/>
      <w:bCs/>
    </w:rPr>
  </w:style>
  <w:style w:type="character" w:styleId="15">
    <w:name w:val="annotation reference"/>
    <w:basedOn w:val="14"/>
    <w:semiHidden/>
    <w:unhideWhenUsed/>
    <w:qFormat/>
    <w:uiPriority w:val="99"/>
    <w:rPr>
      <w:sz w:val="21"/>
      <w:szCs w:val="21"/>
    </w:rPr>
  </w:style>
  <w:style w:type="character" w:customStyle="1" w:styleId="16">
    <w:name w:val="页眉 字符"/>
    <w:basedOn w:val="14"/>
    <w:link w:val="10"/>
    <w:semiHidden/>
    <w:qFormat/>
    <w:uiPriority w:val="99"/>
    <w:rPr>
      <w:sz w:val="18"/>
      <w:szCs w:val="18"/>
    </w:rPr>
  </w:style>
  <w:style w:type="character" w:customStyle="1" w:styleId="17">
    <w:name w:val="页脚 字符"/>
    <w:basedOn w:val="14"/>
    <w:link w:val="9"/>
    <w:semiHidden/>
    <w:qFormat/>
    <w:uiPriority w:val="99"/>
    <w:rPr>
      <w:sz w:val="18"/>
      <w:szCs w:val="18"/>
    </w:rPr>
  </w:style>
  <w:style w:type="character" w:customStyle="1" w:styleId="18">
    <w:name w:val="日期 字符"/>
    <w:basedOn w:val="14"/>
    <w:link w:val="6"/>
    <w:semiHidden/>
    <w:qFormat/>
    <w:uiPriority w:val="99"/>
  </w:style>
  <w:style w:type="character" w:customStyle="1" w:styleId="19">
    <w:name w:val="正文文本缩进 3 字符"/>
    <w:basedOn w:val="14"/>
    <w:link w:val="11"/>
    <w:semiHidden/>
    <w:qFormat/>
    <w:uiPriority w:val="0"/>
    <w:rPr>
      <w:rFonts w:ascii="楷体_GB2312" w:hAnsi="Times New Roman" w:eastAsia="楷体_GB2312" w:cs="Times New Roman"/>
      <w:sz w:val="28"/>
      <w:szCs w:val="24"/>
    </w:rPr>
  </w:style>
  <w:style w:type="character" w:customStyle="1" w:styleId="20">
    <w:name w:val="正文文本缩进 字符"/>
    <w:basedOn w:val="14"/>
    <w:link w:val="5"/>
    <w:semiHidden/>
    <w:qFormat/>
    <w:uiPriority w:val="0"/>
    <w:rPr>
      <w:rFonts w:ascii="仿宋_GB2312" w:hAnsi="Times New Roman" w:eastAsia="仿宋_GB2312" w:cs="Times New Roman"/>
      <w:kern w:val="32"/>
      <w:sz w:val="28"/>
      <w:szCs w:val="24"/>
    </w:rPr>
  </w:style>
  <w:style w:type="character" w:customStyle="1" w:styleId="21">
    <w:name w:val="正文文本缩进 2 字符"/>
    <w:basedOn w:val="14"/>
    <w:link w:val="7"/>
    <w:semiHidden/>
    <w:qFormat/>
    <w:uiPriority w:val="0"/>
    <w:rPr>
      <w:rFonts w:ascii="仿宋_GB2312" w:hAnsi="Times New Roman" w:eastAsia="仿宋_GB2312" w:cs="Times New Roman"/>
      <w:snapToGrid w:val="0"/>
      <w:kern w:val="0"/>
      <w:sz w:val="28"/>
      <w:szCs w:val="24"/>
    </w:rPr>
  </w:style>
  <w:style w:type="character" w:customStyle="1" w:styleId="22">
    <w:name w:val="标题 1 字符"/>
    <w:basedOn w:val="14"/>
    <w:link w:val="2"/>
    <w:qFormat/>
    <w:uiPriority w:val="0"/>
    <w:rPr>
      <w:rFonts w:ascii="Times New Roman" w:hAnsi="Times New Roman" w:eastAsia="黑体" w:cs="Times New Roman"/>
      <w:kern w:val="44"/>
      <w:sz w:val="36"/>
      <w:szCs w:val="20"/>
    </w:rPr>
  </w:style>
  <w:style w:type="character" w:customStyle="1" w:styleId="23">
    <w:name w:val="标题 3 字符"/>
    <w:basedOn w:val="14"/>
    <w:link w:val="3"/>
    <w:qFormat/>
    <w:uiPriority w:val="0"/>
    <w:rPr>
      <w:rFonts w:ascii="Times New Roman" w:hAnsi="Times New Roman" w:eastAsia="宋体" w:cs="Times New Roman"/>
      <w:b/>
      <w:sz w:val="32"/>
      <w:szCs w:val="20"/>
    </w:rPr>
  </w:style>
  <w:style w:type="character" w:customStyle="1" w:styleId="24">
    <w:name w:val="批注文字 字符"/>
    <w:basedOn w:val="14"/>
    <w:link w:val="4"/>
    <w:semiHidden/>
    <w:qFormat/>
    <w:uiPriority w:val="99"/>
  </w:style>
  <w:style w:type="character" w:customStyle="1" w:styleId="25">
    <w:name w:val="批注主题 字符"/>
    <w:basedOn w:val="24"/>
    <w:link w:val="12"/>
    <w:semiHidden/>
    <w:qFormat/>
    <w:uiPriority w:val="99"/>
    <w:rPr>
      <w:b/>
      <w:bCs/>
    </w:rPr>
  </w:style>
  <w:style w:type="paragraph" w:customStyle="1" w:styleId="26">
    <w:name w:val="Revision"/>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27">
    <w:name w:val="批注框文本 字符"/>
    <w:basedOn w:val="14"/>
    <w:link w:val="8"/>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824</Words>
  <Characters>831</Characters>
  <Lines>11</Lines>
  <Paragraphs>3</Paragraphs>
  <TotalTime>149</TotalTime>
  <ScaleCrop>false</ScaleCrop>
  <LinksUpToDate>false</LinksUpToDate>
  <CharactersWithSpaces>858</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2017-06-26T02:28:00Z</dcterms:created>
  <dc:creator>雪无痕-1</dc:creator>
  <cp:lastModifiedBy>王倩</cp:lastModifiedBy>
  <cp:lastPrinted>2024-10-31T06:33:14Z</cp:lastPrinted>
  <dcterms:modified xsi:type="dcterms:W3CDTF">2024-10-31T06:41:04Z</dcterms:modified>
  <cp:revision>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CE3226AF688F4C5DA55EA58D79AAE66F_13</vt:lpwstr>
  </property>
</Properties>
</file>